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3F4E9" w14:textId="77777777" w:rsidR="00CB5A9C" w:rsidRPr="00DA0824" w:rsidRDefault="00CB5A9C" w:rsidP="00CB5A9C">
      <w:pPr>
        <w:spacing w:after="0" w:line="240" w:lineRule="auto"/>
        <w:jc w:val="center"/>
        <w:rPr>
          <w:rFonts w:ascii="Times New Roman" w:eastAsia="Times New Roman" w:hAnsi="Times New Roman" w:cs="Times New Roman"/>
          <w:color w:val="000000"/>
          <w:sz w:val="24"/>
          <w:szCs w:val="24"/>
        </w:rPr>
      </w:pPr>
      <w:bookmarkStart w:id="0" w:name="_CITRUS_ITALIC"/>
      <w:bookmarkStart w:id="1" w:name="_GoBack"/>
      <w:bookmarkEnd w:id="0"/>
      <w:bookmarkEnd w:id="1"/>
      <w:r w:rsidRPr="00DA0824">
        <w:rPr>
          <w:rFonts w:ascii="Times New Roman" w:eastAsia="Times New Roman" w:hAnsi="Times New Roman" w:cs="Times New Roman"/>
          <w:b/>
          <w:bCs/>
          <w:color w:val="000000"/>
          <w:sz w:val="24"/>
          <w:szCs w:val="24"/>
        </w:rPr>
        <w:t>UNITED STATES DISTRICT COURT</w:t>
      </w:r>
    </w:p>
    <w:p w14:paraId="1A0762CB" w14:textId="77777777" w:rsidR="00CB5A9C" w:rsidRPr="00DA0824" w:rsidRDefault="00CB5A9C" w:rsidP="00CB5A9C">
      <w:pPr>
        <w:spacing w:after="0" w:line="240" w:lineRule="auto"/>
        <w:jc w:val="center"/>
        <w:rPr>
          <w:rFonts w:ascii="Times New Roman" w:eastAsia="Times New Roman" w:hAnsi="Times New Roman" w:cs="Times New Roman"/>
          <w:color w:val="000000"/>
          <w:sz w:val="24"/>
          <w:szCs w:val="24"/>
        </w:rPr>
      </w:pPr>
      <w:r w:rsidRPr="00DA0824">
        <w:rPr>
          <w:rFonts w:ascii="Times New Roman" w:eastAsia="Times New Roman" w:hAnsi="Times New Roman" w:cs="Times New Roman"/>
          <w:b/>
          <w:bCs/>
          <w:color w:val="000000"/>
          <w:sz w:val="24"/>
          <w:szCs w:val="24"/>
        </w:rPr>
        <w:t>DISTRICT OF MOOT</w:t>
      </w:r>
    </w:p>
    <w:p w14:paraId="2865B88D" w14:textId="77777777" w:rsidR="00CB5A9C" w:rsidRPr="00DA0824" w:rsidRDefault="00CB5A9C" w:rsidP="00CB5A9C">
      <w:pPr>
        <w:spacing w:after="0" w:line="240" w:lineRule="auto"/>
        <w:jc w:val="center"/>
        <w:rPr>
          <w:rFonts w:ascii="Times New Roman" w:eastAsia="Times New Roman" w:hAnsi="Times New Roman" w:cs="Times New Roman"/>
          <w:color w:val="000000"/>
          <w:sz w:val="24"/>
          <w:szCs w:val="24"/>
        </w:rPr>
      </w:pPr>
      <w:r w:rsidRPr="00DA0824">
        <w:rPr>
          <w:rFonts w:ascii="Times New Roman" w:eastAsia="Times New Roman" w:hAnsi="Times New Roman" w:cs="Times New Roman"/>
          <w:b/>
          <w:bCs/>
          <w:color w:val="000000"/>
          <w:sz w:val="24"/>
          <w:szCs w:val="24"/>
        </w:rPr>
        <w:t>THIRD DIVISION</w:t>
      </w:r>
    </w:p>
    <w:p w14:paraId="6165B28B" w14:textId="77777777" w:rsidR="00CB5A9C" w:rsidRPr="00DA0824" w:rsidRDefault="00CB5A9C" w:rsidP="00CB5A9C">
      <w:pPr>
        <w:spacing w:after="0" w:line="240" w:lineRule="auto"/>
        <w:rPr>
          <w:rFonts w:ascii="Times New Roman" w:eastAsia="Times New Roman" w:hAnsi="Times New Roman" w:cs="Times New Roman"/>
          <w:color w:val="000000"/>
          <w:sz w:val="18"/>
          <w:szCs w:val="18"/>
        </w:rPr>
      </w:pPr>
      <w:r w:rsidRPr="00DA0824">
        <w:rPr>
          <w:rFonts w:ascii="Times New Roman" w:eastAsia="Times New Roman" w:hAnsi="Times New Roman" w:cs="Times New Roman"/>
          <w:color w:val="000000"/>
          <w:sz w:val="18"/>
          <w:szCs w:val="18"/>
        </w:rPr>
        <w:t> </w:t>
      </w:r>
    </w:p>
    <w:tbl>
      <w:tblPr>
        <w:tblW w:w="8687" w:type="dxa"/>
        <w:tblCellMar>
          <w:top w:w="15" w:type="dxa"/>
          <w:left w:w="15" w:type="dxa"/>
          <w:bottom w:w="15" w:type="dxa"/>
          <w:right w:w="15" w:type="dxa"/>
        </w:tblCellMar>
        <w:tblLook w:val="04A0" w:firstRow="1" w:lastRow="0" w:firstColumn="1" w:lastColumn="0" w:noHBand="0" w:noVBand="1"/>
      </w:tblPr>
      <w:tblGrid>
        <w:gridCol w:w="4407"/>
        <w:gridCol w:w="4280"/>
      </w:tblGrid>
      <w:tr w:rsidR="00CB5A9C" w:rsidRPr="00DA0824" w14:paraId="49B3F09E" w14:textId="77777777" w:rsidTr="008D2EB9">
        <w:tc>
          <w:tcPr>
            <w:tcW w:w="4605" w:type="dxa"/>
            <w:tcBorders>
              <w:top w:val="nil"/>
              <w:left w:val="nil"/>
              <w:bottom w:val="nil"/>
              <w:right w:val="nil"/>
            </w:tcBorders>
          </w:tcPr>
          <w:p w14:paraId="157F569D" w14:textId="77777777" w:rsidR="00CB5A9C" w:rsidRPr="00DA0824" w:rsidRDefault="00CB5A9C" w:rsidP="00935D90">
            <w:pPr>
              <w:spacing w:after="0" w:line="240" w:lineRule="auto"/>
              <w:rPr>
                <w:rFonts w:ascii="Times New Roman" w:eastAsia="Times New Roman" w:hAnsi="Times New Roman" w:cs="Times New Roman"/>
                <w:sz w:val="24"/>
                <w:szCs w:val="24"/>
              </w:rPr>
            </w:pPr>
            <w:bookmarkStart w:id="2" w:name="table01"/>
            <w:bookmarkEnd w:id="2"/>
            <w:r w:rsidRPr="00DA0824">
              <w:rPr>
                <w:rFonts w:ascii="Times New Roman" w:eastAsia="Times New Roman" w:hAnsi="Times New Roman" w:cs="Times New Roman"/>
                <w:sz w:val="24"/>
                <w:szCs w:val="24"/>
              </w:rPr>
              <w:t>OGS TV, INC.        </w:t>
            </w:r>
          </w:p>
          <w:p w14:paraId="512A8FE3" w14:textId="77777777" w:rsidR="00CB5A9C" w:rsidRPr="00DA0824" w:rsidRDefault="00CB5A9C" w:rsidP="00935D90">
            <w:pPr>
              <w:spacing w:after="0" w:line="240" w:lineRule="auto"/>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               Plaintiff</w:t>
            </w:r>
          </w:p>
        </w:tc>
        <w:tc>
          <w:tcPr>
            <w:tcW w:w="4082" w:type="dxa"/>
            <w:tcBorders>
              <w:top w:val="nil"/>
              <w:left w:val="nil"/>
              <w:bottom w:val="nil"/>
              <w:right w:val="nil"/>
            </w:tcBorders>
          </w:tcPr>
          <w:p w14:paraId="68DEE2E9" w14:textId="77777777" w:rsidR="00935D90" w:rsidRPr="00DA0824" w:rsidRDefault="00CB5A9C" w:rsidP="008D2EB9">
            <w:pPr>
              <w:spacing w:after="0" w:line="240" w:lineRule="auto"/>
              <w:ind w:right="-60"/>
              <w:jc w:val="right"/>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 xml:space="preserve">               Civ. No. 27-CV-12-1234</w:t>
            </w:r>
          </w:p>
        </w:tc>
      </w:tr>
      <w:tr w:rsidR="00CB5A9C" w:rsidRPr="00DA0824" w14:paraId="433227BC" w14:textId="77777777" w:rsidTr="008D2EB9">
        <w:tc>
          <w:tcPr>
            <w:tcW w:w="4605" w:type="dxa"/>
            <w:tcBorders>
              <w:top w:val="nil"/>
              <w:left w:val="nil"/>
              <w:bottom w:val="nil"/>
              <w:right w:val="nil"/>
            </w:tcBorders>
          </w:tcPr>
          <w:p w14:paraId="1722AD6D" w14:textId="77777777" w:rsidR="00CB5A9C" w:rsidRPr="00DA0824" w:rsidRDefault="00CB5A9C" w:rsidP="00935D90">
            <w:pPr>
              <w:spacing w:after="0" w:line="240" w:lineRule="auto"/>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 </w:t>
            </w:r>
          </w:p>
          <w:p w14:paraId="2863E1C7" w14:textId="77777777" w:rsidR="00CB5A9C" w:rsidRPr="00DA0824" w:rsidRDefault="00CB5A9C" w:rsidP="00935D90">
            <w:pPr>
              <w:spacing w:after="0" w:line="240" w:lineRule="auto"/>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v.</w:t>
            </w:r>
          </w:p>
        </w:tc>
        <w:tc>
          <w:tcPr>
            <w:tcW w:w="0" w:type="auto"/>
            <w:tcBorders>
              <w:top w:val="nil"/>
              <w:left w:val="nil"/>
              <w:bottom w:val="nil"/>
              <w:right w:val="nil"/>
            </w:tcBorders>
          </w:tcPr>
          <w:p w14:paraId="1AD94518" w14:textId="77777777" w:rsidR="00935D90" w:rsidRPr="00DA0824" w:rsidRDefault="00CB5A9C" w:rsidP="008D2EB9">
            <w:pPr>
              <w:spacing w:after="0" w:line="240" w:lineRule="auto"/>
              <w:ind w:left="413"/>
              <w:jc w:val="right"/>
              <w:rPr>
                <w:rFonts w:ascii="Times New Roman" w:eastAsia="Times New Roman" w:hAnsi="Times New Roman" w:cs="Times New Roman"/>
                <w:b/>
                <w:bCs/>
                <w:sz w:val="24"/>
                <w:szCs w:val="24"/>
              </w:rPr>
            </w:pPr>
            <w:r w:rsidRPr="00DA0824">
              <w:rPr>
                <w:rFonts w:ascii="Times New Roman" w:eastAsia="Times New Roman" w:hAnsi="Times New Roman" w:cs="Times New Roman"/>
                <w:b/>
                <w:bCs/>
                <w:sz w:val="24"/>
                <w:szCs w:val="24"/>
              </w:rPr>
              <w:t xml:space="preserve">PLAINTIFF’S MEMORANDUM       </w:t>
            </w:r>
            <w:r w:rsidR="00BA0069" w:rsidRPr="00DA0824">
              <w:rPr>
                <w:rFonts w:ascii="Times New Roman" w:eastAsia="Times New Roman" w:hAnsi="Times New Roman" w:cs="Times New Roman"/>
                <w:b/>
                <w:bCs/>
                <w:sz w:val="24"/>
                <w:szCs w:val="24"/>
              </w:rPr>
              <w:t xml:space="preserve">       </w:t>
            </w:r>
            <w:r w:rsidRPr="00DA0824">
              <w:rPr>
                <w:rFonts w:ascii="Times New Roman" w:eastAsia="Times New Roman" w:hAnsi="Times New Roman" w:cs="Times New Roman"/>
                <w:b/>
                <w:bCs/>
                <w:sz w:val="24"/>
                <w:szCs w:val="24"/>
              </w:rPr>
              <w:t xml:space="preserve"> </w:t>
            </w:r>
          </w:p>
          <w:p w14:paraId="1C3C6D3B" w14:textId="77777777" w:rsidR="00935D90" w:rsidRPr="00DA0824" w:rsidRDefault="0024363E" w:rsidP="008D2EB9">
            <w:pPr>
              <w:spacing w:after="0" w:line="240" w:lineRule="auto"/>
              <w:ind w:left="413"/>
              <w:jc w:val="right"/>
              <w:rPr>
                <w:rFonts w:ascii="Times New Roman" w:eastAsia="Times New Roman" w:hAnsi="Times New Roman" w:cs="Times New Roman"/>
                <w:b/>
                <w:bCs/>
                <w:sz w:val="24"/>
                <w:szCs w:val="24"/>
              </w:rPr>
            </w:pPr>
            <w:r w:rsidRPr="00DA0824">
              <w:rPr>
                <w:rFonts w:ascii="Times New Roman" w:eastAsia="Times New Roman" w:hAnsi="Times New Roman" w:cs="Times New Roman"/>
                <w:b/>
                <w:bCs/>
                <w:sz w:val="24"/>
                <w:szCs w:val="24"/>
              </w:rPr>
              <w:t>IN OPPOSITION TO DEFENDANTS'</w:t>
            </w:r>
            <w:r w:rsidR="00BA0069" w:rsidRPr="00DA0824">
              <w:rPr>
                <w:rFonts w:ascii="Times New Roman" w:eastAsia="Times New Roman" w:hAnsi="Times New Roman" w:cs="Times New Roman"/>
                <w:b/>
                <w:bCs/>
                <w:sz w:val="24"/>
                <w:szCs w:val="24"/>
              </w:rPr>
              <w:t xml:space="preserve"> </w:t>
            </w:r>
          </w:p>
          <w:p w14:paraId="55373D29" w14:textId="77777777" w:rsidR="00935D90" w:rsidRPr="00DA0824" w:rsidRDefault="00BA0069" w:rsidP="008D2EB9">
            <w:pPr>
              <w:spacing w:after="0" w:line="240" w:lineRule="auto"/>
              <w:ind w:left="413"/>
              <w:jc w:val="right"/>
              <w:rPr>
                <w:rFonts w:ascii="Times New Roman" w:eastAsia="Times New Roman" w:hAnsi="Times New Roman" w:cs="Times New Roman"/>
                <w:sz w:val="24"/>
                <w:szCs w:val="24"/>
              </w:rPr>
            </w:pPr>
            <w:r w:rsidRPr="00DA0824">
              <w:rPr>
                <w:rFonts w:ascii="Times New Roman" w:eastAsia="Times New Roman" w:hAnsi="Times New Roman" w:cs="Times New Roman"/>
                <w:b/>
                <w:bCs/>
                <w:sz w:val="24"/>
                <w:szCs w:val="24"/>
              </w:rPr>
              <w:t>MOTION TO DISMISS</w:t>
            </w:r>
          </w:p>
        </w:tc>
      </w:tr>
      <w:tr w:rsidR="00CB5A9C" w:rsidRPr="00DA0824" w14:paraId="140A17D1" w14:textId="77777777" w:rsidTr="008D2EB9">
        <w:tc>
          <w:tcPr>
            <w:tcW w:w="4605" w:type="dxa"/>
            <w:tcBorders>
              <w:top w:val="nil"/>
              <w:left w:val="nil"/>
              <w:bottom w:val="nil"/>
              <w:right w:val="nil"/>
            </w:tcBorders>
          </w:tcPr>
          <w:p w14:paraId="762B28F7" w14:textId="77777777" w:rsidR="00CB5A9C" w:rsidRPr="00DA0824" w:rsidRDefault="00CB5A9C" w:rsidP="00935D90">
            <w:pPr>
              <w:spacing w:after="0" w:line="240" w:lineRule="auto"/>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 </w:t>
            </w:r>
          </w:p>
          <w:p w14:paraId="70CF8B7B" w14:textId="77777777" w:rsidR="00CB5A9C" w:rsidRPr="00DA0824" w:rsidRDefault="00CB5A9C" w:rsidP="00935D90">
            <w:pPr>
              <w:spacing w:after="0" w:line="240" w:lineRule="auto"/>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Elizabeth Lime, and TinyTV, Inc.</w:t>
            </w:r>
          </w:p>
          <w:p w14:paraId="6526E258" w14:textId="77777777" w:rsidR="00CB5A9C" w:rsidRPr="00DA0824" w:rsidRDefault="00CB5A9C" w:rsidP="00935D90">
            <w:pPr>
              <w:spacing w:after="0" w:line="240" w:lineRule="auto"/>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             Defendants.</w:t>
            </w:r>
          </w:p>
        </w:tc>
        <w:tc>
          <w:tcPr>
            <w:tcW w:w="0" w:type="auto"/>
            <w:tcBorders>
              <w:top w:val="nil"/>
              <w:left w:val="nil"/>
              <w:bottom w:val="nil"/>
              <w:right w:val="nil"/>
            </w:tcBorders>
          </w:tcPr>
          <w:p w14:paraId="1FC64321" w14:textId="77777777" w:rsidR="00CB5A9C" w:rsidRPr="00DA0824" w:rsidRDefault="00CB5A9C" w:rsidP="00935D90">
            <w:pPr>
              <w:spacing w:after="0" w:line="240" w:lineRule="auto"/>
              <w:jc w:val="center"/>
              <w:rPr>
                <w:rFonts w:ascii="Times New Roman" w:eastAsia="Times New Roman" w:hAnsi="Times New Roman" w:cs="Times New Roman"/>
                <w:sz w:val="24"/>
                <w:szCs w:val="24"/>
              </w:rPr>
            </w:pPr>
          </w:p>
        </w:tc>
      </w:tr>
    </w:tbl>
    <w:p w14:paraId="624063B2" w14:textId="77777777" w:rsidR="00CB5A9C" w:rsidRPr="00DA0824" w:rsidRDefault="00CB5A9C" w:rsidP="00CB5A9C">
      <w:pPr>
        <w:spacing w:after="0" w:line="240" w:lineRule="auto"/>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w:t>
      </w:r>
    </w:p>
    <w:p w14:paraId="5B3D9B66" w14:textId="77777777" w:rsidR="00CB5A9C" w:rsidRPr="00DA0824" w:rsidRDefault="00CB5A9C" w:rsidP="00CB5A9C">
      <w:pPr>
        <w:spacing w:after="0" w:line="240" w:lineRule="auto"/>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w:t>
      </w:r>
    </w:p>
    <w:p w14:paraId="657F7BEF" w14:textId="77777777" w:rsidR="00CB5A9C" w:rsidRPr="00DA0824" w:rsidRDefault="00CB5A9C" w:rsidP="00CB5A9C">
      <w:pPr>
        <w:spacing w:after="0" w:line="240" w:lineRule="auto"/>
        <w:jc w:val="center"/>
        <w:outlineLvl w:val="1"/>
        <w:rPr>
          <w:rFonts w:ascii="Times New Roman" w:eastAsia="Times New Roman" w:hAnsi="Times New Roman" w:cs="Times New Roman"/>
          <w:b/>
          <w:bCs/>
          <w:color w:val="000000"/>
          <w:sz w:val="24"/>
          <w:szCs w:val="24"/>
        </w:rPr>
      </w:pPr>
      <w:r w:rsidRPr="00DA0824">
        <w:rPr>
          <w:rFonts w:ascii="Times New Roman" w:eastAsia="Times New Roman" w:hAnsi="Times New Roman" w:cs="Times New Roman"/>
          <w:b/>
          <w:bCs/>
          <w:color w:val="000000"/>
          <w:sz w:val="24"/>
          <w:szCs w:val="24"/>
          <w:u w:val="single"/>
        </w:rPr>
        <w:t>INTRODUCTION</w:t>
      </w:r>
    </w:p>
    <w:p w14:paraId="66C25E88" w14:textId="77777777" w:rsidR="00CB5A9C" w:rsidRPr="00DA0824" w:rsidRDefault="00CB5A9C" w:rsidP="00CB5A9C">
      <w:pPr>
        <w:spacing w:after="0" w:line="240" w:lineRule="auto"/>
        <w:jc w:val="both"/>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w:t>
      </w:r>
    </w:p>
    <w:p w14:paraId="49B17806" w14:textId="77777777" w:rsidR="00CB5A9C" w:rsidRPr="00DA0824" w:rsidRDefault="00CB5A9C" w:rsidP="003A31DF">
      <w:pPr>
        <w:spacing w:after="0" w:line="480" w:lineRule="auto"/>
        <w:ind w:firstLine="720"/>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xml:space="preserve">Elizabeth Lime produced a screenplay for the show </w:t>
      </w:r>
      <w:r w:rsidRPr="00DA0824">
        <w:rPr>
          <w:rFonts w:ascii="Times New Roman" w:eastAsia="Times New Roman" w:hAnsi="Times New Roman" w:cs="Times New Roman"/>
          <w:i/>
          <w:color w:val="000000"/>
          <w:sz w:val="24"/>
          <w:szCs w:val="24"/>
        </w:rPr>
        <w:t>Lawless Love</w:t>
      </w:r>
      <w:r w:rsidRPr="00DA0824">
        <w:rPr>
          <w:rFonts w:ascii="Times New Roman" w:eastAsia="Times New Roman" w:hAnsi="Times New Roman" w:cs="Times New Roman"/>
          <w:color w:val="000000"/>
          <w:sz w:val="24"/>
          <w:szCs w:val="24"/>
        </w:rPr>
        <w:t>, in fulfilling</w:t>
      </w:r>
      <w:r w:rsidR="008D2EB9" w:rsidRPr="00DA0824">
        <w:rPr>
          <w:rFonts w:ascii="Times New Roman" w:eastAsia="Times New Roman" w:hAnsi="Times New Roman" w:cs="Times New Roman"/>
          <w:color w:val="000000"/>
          <w:sz w:val="24"/>
          <w:szCs w:val="24"/>
        </w:rPr>
        <w:t xml:space="preserve"> an oral agreement</w:t>
      </w:r>
      <w:r w:rsidR="001B2EBB">
        <w:rPr>
          <w:rFonts w:ascii="Times New Roman" w:eastAsia="Times New Roman" w:hAnsi="Times New Roman" w:cs="Times New Roman"/>
          <w:color w:val="000000"/>
          <w:sz w:val="24"/>
          <w:szCs w:val="24"/>
        </w:rPr>
        <w:t>, which was later formalized in writing,</w:t>
      </w:r>
      <w:r w:rsidR="008D2EB9" w:rsidRPr="00DA0824">
        <w:rPr>
          <w:rFonts w:ascii="Times New Roman" w:eastAsia="Times New Roman" w:hAnsi="Times New Roman" w:cs="Times New Roman"/>
          <w:color w:val="000000"/>
          <w:sz w:val="24"/>
          <w:szCs w:val="24"/>
        </w:rPr>
        <w:t xml:space="preserve"> </w:t>
      </w:r>
      <w:r w:rsidRPr="00DA0824">
        <w:rPr>
          <w:rFonts w:ascii="Times New Roman" w:eastAsia="Times New Roman" w:hAnsi="Times New Roman" w:cs="Times New Roman"/>
          <w:color w:val="000000"/>
          <w:sz w:val="24"/>
          <w:szCs w:val="24"/>
        </w:rPr>
        <w:t>with OGS TV</w:t>
      </w:r>
      <w:r w:rsidR="001B2EBB">
        <w:rPr>
          <w:rFonts w:ascii="Times New Roman" w:eastAsia="Times New Roman" w:hAnsi="Times New Roman" w:cs="Times New Roman"/>
          <w:color w:val="000000"/>
          <w:sz w:val="24"/>
          <w:szCs w:val="24"/>
        </w:rPr>
        <w:t>.  She then</w:t>
      </w:r>
      <w:r w:rsidRPr="00DA0824">
        <w:rPr>
          <w:rFonts w:ascii="Times New Roman" w:eastAsia="Times New Roman" w:hAnsi="Times New Roman" w:cs="Times New Roman"/>
          <w:color w:val="000000"/>
          <w:sz w:val="24"/>
          <w:szCs w:val="24"/>
        </w:rPr>
        <w:t xml:space="preserve"> wrote </w:t>
      </w:r>
      <w:r w:rsidR="0024363E" w:rsidRPr="00DA0824">
        <w:rPr>
          <w:rFonts w:ascii="Times New Roman" w:eastAsia="Times New Roman" w:hAnsi="Times New Roman" w:cs="Times New Roman"/>
          <w:color w:val="000000"/>
          <w:sz w:val="24"/>
          <w:szCs w:val="24"/>
        </w:rPr>
        <w:t>a</w:t>
      </w:r>
      <w:r w:rsidRPr="00DA0824">
        <w:rPr>
          <w:rFonts w:ascii="Times New Roman" w:eastAsia="Times New Roman" w:hAnsi="Times New Roman" w:cs="Times New Roman"/>
          <w:color w:val="000000"/>
          <w:sz w:val="24"/>
          <w:szCs w:val="24"/>
        </w:rPr>
        <w:t xml:space="preserve"> screenplay for the show </w:t>
      </w:r>
      <w:r w:rsidRPr="00DA0824">
        <w:rPr>
          <w:rFonts w:ascii="Times New Roman" w:eastAsia="Times New Roman" w:hAnsi="Times New Roman" w:cs="Times New Roman"/>
          <w:i/>
          <w:color w:val="000000"/>
          <w:sz w:val="24"/>
          <w:szCs w:val="24"/>
        </w:rPr>
        <w:t>The Tin Can,</w:t>
      </w:r>
      <w:r w:rsidRPr="00DA0824">
        <w:rPr>
          <w:rFonts w:ascii="Times New Roman" w:eastAsia="Times New Roman" w:hAnsi="Times New Roman" w:cs="Times New Roman"/>
          <w:color w:val="000000"/>
          <w:sz w:val="24"/>
          <w:szCs w:val="24"/>
        </w:rPr>
        <w:t xml:space="preserve"> which copied extensive parts of the screenplay that she had developed under contract with OGS TV</w:t>
      </w:r>
      <w:r w:rsidR="0024363E" w:rsidRPr="00DA0824">
        <w:rPr>
          <w:rFonts w:ascii="Times New Roman" w:eastAsia="Times New Roman" w:hAnsi="Times New Roman" w:cs="Times New Roman"/>
          <w:color w:val="000000"/>
          <w:sz w:val="24"/>
          <w:szCs w:val="24"/>
        </w:rPr>
        <w:t xml:space="preserve"> and </w:t>
      </w:r>
      <w:r w:rsidR="004551B1" w:rsidRPr="00DA0824">
        <w:rPr>
          <w:rFonts w:ascii="Times New Roman" w:eastAsia="Times New Roman" w:hAnsi="Times New Roman" w:cs="Times New Roman"/>
          <w:color w:val="000000"/>
          <w:sz w:val="24"/>
          <w:szCs w:val="24"/>
        </w:rPr>
        <w:t>written for OGS TV for</w:t>
      </w:r>
      <w:r w:rsidR="0024363E" w:rsidRPr="00DA0824">
        <w:rPr>
          <w:rFonts w:ascii="Times New Roman" w:eastAsia="Times New Roman" w:hAnsi="Times New Roman" w:cs="Times New Roman"/>
          <w:color w:val="000000"/>
          <w:sz w:val="24"/>
          <w:szCs w:val="24"/>
        </w:rPr>
        <w:t xml:space="preserve"> $6,000</w:t>
      </w:r>
      <w:r w:rsidRPr="00DA0824">
        <w:rPr>
          <w:rFonts w:ascii="Times New Roman" w:eastAsia="Times New Roman" w:hAnsi="Times New Roman" w:cs="Times New Roman"/>
          <w:color w:val="000000"/>
          <w:sz w:val="24"/>
          <w:szCs w:val="24"/>
        </w:rPr>
        <w:t>.   </w:t>
      </w:r>
    </w:p>
    <w:p w14:paraId="3856583F" w14:textId="77777777" w:rsidR="00CB5A9C" w:rsidRPr="00DA0824" w:rsidRDefault="00CB5A9C" w:rsidP="003A31DF">
      <w:pPr>
        <w:spacing w:after="0" w:line="480" w:lineRule="auto"/>
        <w:ind w:firstLine="720"/>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xml:space="preserve">This memorandum is in </w:t>
      </w:r>
      <w:r w:rsidR="004551B1" w:rsidRPr="00DA0824">
        <w:rPr>
          <w:rFonts w:ascii="Times New Roman" w:eastAsia="Times New Roman" w:hAnsi="Times New Roman" w:cs="Times New Roman"/>
          <w:color w:val="000000"/>
          <w:sz w:val="24"/>
          <w:szCs w:val="24"/>
        </w:rPr>
        <w:t>opposition to the</w:t>
      </w:r>
      <w:r w:rsidR="008D2EB9" w:rsidRPr="00DA0824">
        <w:rPr>
          <w:rFonts w:ascii="Times New Roman" w:eastAsia="Times New Roman" w:hAnsi="Times New Roman" w:cs="Times New Roman"/>
          <w:color w:val="000000"/>
          <w:sz w:val="24"/>
          <w:szCs w:val="24"/>
        </w:rPr>
        <w:t xml:space="preserve"> </w:t>
      </w:r>
      <w:r w:rsidR="004551B1" w:rsidRPr="00DA0824">
        <w:rPr>
          <w:rFonts w:ascii="Times New Roman" w:eastAsia="Times New Roman" w:hAnsi="Times New Roman" w:cs="Times New Roman"/>
          <w:color w:val="000000"/>
          <w:sz w:val="24"/>
          <w:szCs w:val="24"/>
        </w:rPr>
        <w:t>D</w:t>
      </w:r>
      <w:r w:rsidR="00BA0069" w:rsidRPr="00DA0824">
        <w:rPr>
          <w:rFonts w:ascii="Times New Roman" w:eastAsia="Times New Roman" w:hAnsi="Times New Roman" w:cs="Times New Roman"/>
          <w:color w:val="000000"/>
          <w:sz w:val="24"/>
          <w:szCs w:val="24"/>
        </w:rPr>
        <w:t>efendant</w:t>
      </w:r>
      <w:r w:rsidR="004551B1" w:rsidRPr="00DA0824">
        <w:rPr>
          <w:rFonts w:ascii="Times New Roman" w:eastAsia="Times New Roman" w:hAnsi="Times New Roman" w:cs="Times New Roman"/>
          <w:color w:val="000000"/>
          <w:sz w:val="24"/>
          <w:szCs w:val="24"/>
        </w:rPr>
        <w:t>s</w:t>
      </w:r>
      <w:r w:rsidR="00BA0069" w:rsidRPr="00DA0824">
        <w:rPr>
          <w:rFonts w:ascii="Times New Roman" w:eastAsia="Times New Roman" w:hAnsi="Times New Roman" w:cs="Times New Roman"/>
          <w:color w:val="000000"/>
          <w:sz w:val="24"/>
          <w:szCs w:val="24"/>
        </w:rPr>
        <w:t>’ motion to dismiss the case</w:t>
      </w:r>
      <w:r w:rsidR="001647FA" w:rsidRPr="00DA0824">
        <w:rPr>
          <w:rFonts w:ascii="Times New Roman" w:eastAsia="Times New Roman" w:hAnsi="Times New Roman" w:cs="Times New Roman"/>
          <w:color w:val="000000"/>
          <w:sz w:val="24"/>
          <w:szCs w:val="24"/>
        </w:rPr>
        <w:t>.</w:t>
      </w:r>
      <w:r w:rsidRPr="00DA0824">
        <w:rPr>
          <w:rFonts w:ascii="Times New Roman" w:eastAsia="Times New Roman" w:hAnsi="Times New Roman" w:cs="Times New Roman"/>
          <w:color w:val="000000"/>
          <w:sz w:val="24"/>
          <w:szCs w:val="24"/>
        </w:rPr>
        <w:t xml:space="preserve"> Plaintiff requests the court to </w:t>
      </w:r>
      <w:r w:rsidR="004551B1" w:rsidRPr="00DA0824">
        <w:rPr>
          <w:rFonts w:ascii="Times New Roman" w:eastAsia="Times New Roman" w:hAnsi="Times New Roman" w:cs="Times New Roman"/>
          <w:color w:val="000000"/>
          <w:sz w:val="24"/>
          <w:szCs w:val="24"/>
        </w:rPr>
        <w:t xml:space="preserve">deny </w:t>
      </w:r>
      <w:r w:rsidR="00BA0069" w:rsidRPr="00DA0824">
        <w:rPr>
          <w:rFonts w:ascii="Times New Roman" w:eastAsia="Times New Roman" w:hAnsi="Times New Roman" w:cs="Times New Roman"/>
          <w:color w:val="000000"/>
          <w:sz w:val="24"/>
          <w:szCs w:val="24"/>
        </w:rPr>
        <w:t xml:space="preserve">this motion, </w:t>
      </w:r>
      <w:r w:rsidR="004551B1" w:rsidRPr="00DA0824">
        <w:rPr>
          <w:rFonts w:ascii="Times New Roman" w:eastAsia="Times New Roman" w:hAnsi="Times New Roman" w:cs="Times New Roman"/>
          <w:color w:val="000000"/>
          <w:sz w:val="24"/>
          <w:szCs w:val="24"/>
        </w:rPr>
        <w:t>because Plaintiff OGS TV did allege a claim</w:t>
      </w:r>
      <w:r w:rsidR="00BA0069" w:rsidRPr="00DA0824">
        <w:rPr>
          <w:rFonts w:ascii="Times New Roman" w:eastAsia="Times New Roman" w:hAnsi="Times New Roman" w:cs="Times New Roman"/>
          <w:color w:val="000000"/>
          <w:sz w:val="24"/>
          <w:szCs w:val="24"/>
        </w:rPr>
        <w:t xml:space="preserve"> upon which</w:t>
      </w:r>
      <w:r w:rsidR="004551B1" w:rsidRPr="00DA0824">
        <w:rPr>
          <w:rFonts w:ascii="Times New Roman" w:eastAsia="Times New Roman" w:hAnsi="Times New Roman" w:cs="Times New Roman"/>
          <w:color w:val="000000"/>
          <w:sz w:val="24"/>
          <w:szCs w:val="24"/>
        </w:rPr>
        <w:t xml:space="preserve"> relief can be granted.</w:t>
      </w:r>
      <w:r w:rsidR="00BA0069" w:rsidRPr="00DA0824">
        <w:rPr>
          <w:rFonts w:ascii="Times New Roman" w:eastAsia="Times New Roman" w:hAnsi="Times New Roman" w:cs="Times New Roman"/>
          <w:color w:val="000000"/>
          <w:sz w:val="24"/>
          <w:szCs w:val="24"/>
        </w:rPr>
        <w:t xml:space="preserve">  </w:t>
      </w:r>
      <w:r w:rsidR="001647FA" w:rsidRPr="00DA0824">
        <w:rPr>
          <w:rFonts w:ascii="Times New Roman" w:eastAsia="Times New Roman" w:hAnsi="Times New Roman" w:cs="Times New Roman"/>
          <w:color w:val="000000"/>
          <w:sz w:val="24"/>
          <w:szCs w:val="24"/>
        </w:rPr>
        <w:t>Defendants</w:t>
      </w:r>
      <w:r w:rsidRPr="00DA0824">
        <w:rPr>
          <w:rFonts w:ascii="Times New Roman" w:eastAsia="Times New Roman" w:hAnsi="Times New Roman" w:cs="Times New Roman"/>
          <w:color w:val="000000"/>
          <w:sz w:val="24"/>
          <w:szCs w:val="24"/>
        </w:rPr>
        <w:t xml:space="preserve"> Lime and </w:t>
      </w:r>
      <w:r w:rsidR="001647FA" w:rsidRPr="00DA0824">
        <w:rPr>
          <w:rFonts w:ascii="Times New Roman" w:eastAsia="Times New Roman" w:hAnsi="Times New Roman" w:cs="Times New Roman"/>
          <w:color w:val="000000"/>
          <w:sz w:val="24"/>
          <w:szCs w:val="24"/>
        </w:rPr>
        <w:t>TinyTV</w:t>
      </w:r>
      <w:r w:rsidRPr="00DA0824">
        <w:rPr>
          <w:rFonts w:ascii="Times New Roman" w:eastAsia="Times New Roman" w:hAnsi="Times New Roman" w:cs="Times New Roman"/>
          <w:color w:val="000000"/>
          <w:sz w:val="24"/>
          <w:szCs w:val="24"/>
        </w:rPr>
        <w:t xml:space="preserve"> created an episode of their show </w:t>
      </w:r>
      <w:r w:rsidRPr="00DA0824">
        <w:rPr>
          <w:rFonts w:ascii="Times New Roman" w:eastAsia="Times New Roman" w:hAnsi="Times New Roman" w:cs="Times New Roman"/>
          <w:i/>
          <w:color w:val="000000"/>
          <w:sz w:val="24"/>
          <w:szCs w:val="24"/>
        </w:rPr>
        <w:t xml:space="preserve">The Tin Can </w:t>
      </w:r>
      <w:r w:rsidR="003A31DF">
        <w:rPr>
          <w:rFonts w:ascii="Times New Roman" w:eastAsia="Times New Roman" w:hAnsi="Times New Roman" w:cs="Times New Roman"/>
          <w:color w:val="000000"/>
          <w:sz w:val="24"/>
          <w:szCs w:val="24"/>
        </w:rPr>
        <w:t>that was a derivative of a</w:t>
      </w:r>
      <w:r w:rsidRPr="00DA0824">
        <w:rPr>
          <w:rFonts w:ascii="Times New Roman" w:eastAsia="Times New Roman" w:hAnsi="Times New Roman" w:cs="Times New Roman"/>
          <w:color w:val="000000"/>
          <w:sz w:val="24"/>
          <w:szCs w:val="24"/>
        </w:rPr>
        <w:t xml:space="preserve"> screenplay</w:t>
      </w:r>
      <w:r w:rsidR="003A31DF">
        <w:rPr>
          <w:rFonts w:ascii="Times New Roman" w:eastAsia="Times New Roman" w:hAnsi="Times New Roman" w:cs="Times New Roman"/>
          <w:color w:val="000000"/>
          <w:sz w:val="24"/>
          <w:szCs w:val="24"/>
        </w:rPr>
        <w:t>,</w:t>
      </w:r>
      <w:r w:rsidRPr="00DA0824">
        <w:rPr>
          <w:rFonts w:ascii="Times New Roman" w:eastAsia="Times New Roman" w:hAnsi="Times New Roman" w:cs="Times New Roman"/>
          <w:color w:val="000000"/>
          <w:sz w:val="24"/>
          <w:szCs w:val="24"/>
        </w:rPr>
        <w:t xml:space="preserve"> originally written by Lime, that was owned a</w:t>
      </w:r>
      <w:r w:rsidR="00555AF0">
        <w:rPr>
          <w:rFonts w:ascii="Times New Roman" w:eastAsia="Times New Roman" w:hAnsi="Times New Roman" w:cs="Times New Roman"/>
          <w:color w:val="000000"/>
          <w:sz w:val="24"/>
          <w:szCs w:val="24"/>
        </w:rPr>
        <w:t>nd copyrighted by OGS TV, a course of action</w:t>
      </w:r>
      <w:r w:rsidRPr="00DA0824">
        <w:rPr>
          <w:rFonts w:ascii="Times New Roman" w:eastAsia="Times New Roman" w:hAnsi="Times New Roman" w:cs="Times New Roman"/>
          <w:color w:val="000000"/>
          <w:sz w:val="24"/>
          <w:szCs w:val="24"/>
        </w:rPr>
        <w:t xml:space="preserve"> that vi</w:t>
      </w:r>
      <w:r w:rsidR="00510E24" w:rsidRPr="00DA0824">
        <w:rPr>
          <w:rFonts w:ascii="Times New Roman" w:eastAsia="Times New Roman" w:hAnsi="Times New Roman" w:cs="Times New Roman"/>
          <w:color w:val="000000"/>
          <w:sz w:val="24"/>
          <w:szCs w:val="24"/>
        </w:rPr>
        <w:t xml:space="preserve">olates </w:t>
      </w:r>
      <w:bookmarkStart w:id="3" w:name="CITRUS_BOOKMARK1"/>
      <w:r w:rsidR="00510E24" w:rsidRPr="00DA0824">
        <w:rPr>
          <w:rFonts w:ascii="Times New Roman" w:hAnsi="Times New Roman" w:cs="Times New Roman"/>
          <w:color w:val="252525"/>
          <w:sz w:val="24"/>
          <w:szCs w:val="24"/>
        </w:rPr>
        <w:t>17 U.S.C.A. § 106 (West 2005)</w:t>
      </w:r>
      <w:bookmarkEnd w:id="3"/>
      <w:r w:rsidR="00510E24" w:rsidRPr="00DA0824">
        <w:rPr>
          <w:rFonts w:ascii="Times New Roman" w:hAnsi="Times New Roman" w:cs="Times New Roman"/>
          <w:color w:val="252525"/>
          <w:sz w:val="24"/>
          <w:szCs w:val="24"/>
        </w:rPr>
        <w:t xml:space="preserve">.  As such, plaintiff has provided a claim based upon the violation of the above statute and is entitled to relief.  The requested relief is $86,000 in damages.  The plaintiff also requests an injunction be granted to protect against further infringement.   </w:t>
      </w:r>
    </w:p>
    <w:p w14:paraId="63842919" w14:textId="77777777" w:rsidR="00CB5A9C" w:rsidRPr="00DA0824" w:rsidRDefault="00CB5A9C" w:rsidP="003A31DF">
      <w:pPr>
        <w:spacing w:after="0" w:line="480" w:lineRule="auto"/>
        <w:jc w:val="center"/>
        <w:rPr>
          <w:rFonts w:ascii="Times New Roman" w:eastAsia="Times New Roman" w:hAnsi="Times New Roman" w:cs="Times New Roman"/>
          <w:color w:val="000000"/>
          <w:sz w:val="24"/>
          <w:szCs w:val="24"/>
        </w:rPr>
      </w:pPr>
      <w:r w:rsidRPr="00DA0824">
        <w:rPr>
          <w:rFonts w:ascii="Times New Roman" w:eastAsia="Times New Roman" w:hAnsi="Times New Roman" w:cs="Times New Roman"/>
          <w:b/>
          <w:bCs/>
          <w:color w:val="000000"/>
          <w:sz w:val="24"/>
          <w:szCs w:val="24"/>
          <w:u w:val="single"/>
        </w:rPr>
        <w:t>FACTUAL BACKGROUND</w:t>
      </w:r>
    </w:p>
    <w:p w14:paraId="60299778" w14:textId="77777777" w:rsidR="004551B1" w:rsidRPr="00DA0824" w:rsidRDefault="00CB5A9C" w:rsidP="003A31DF">
      <w:pPr>
        <w:spacing w:after="0" w:line="480" w:lineRule="auto"/>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w:t>
      </w:r>
      <w:r w:rsidR="007D192A" w:rsidRPr="00DA0824">
        <w:rPr>
          <w:rFonts w:ascii="Times New Roman" w:eastAsia="Times New Roman" w:hAnsi="Times New Roman" w:cs="Times New Roman"/>
          <w:color w:val="000000"/>
          <w:sz w:val="24"/>
          <w:szCs w:val="24"/>
        </w:rPr>
        <w:tab/>
      </w:r>
      <w:r w:rsidRPr="00DA0824">
        <w:rPr>
          <w:rFonts w:ascii="Times New Roman" w:eastAsia="Times New Roman" w:hAnsi="Times New Roman" w:cs="Times New Roman"/>
          <w:color w:val="000000"/>
          <w:sz w:val="24"/>
          <w:szCs w:val="24"/>
        </w:rPr>
        <w:t xml:space="preserve">This case involves the following relevant undisputed facts.  </w:t>
      </w:r>
    </w:p>
    <w:p w14:paraId="36A4CC4F" w14:textId="77777777" w:rsidR="004551B1" w:rsidRPr="00DA0824" w:rsidRDefault="004551B1" w:rsidP="003A31DF">
      <w:pPr>
        <w:spacing w:after="0" w:line="480" w:lineRule="auto"/>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lastRenderedPageBreak/>
        <w:tab/>
      </w:r>
      <w:r w:rsidR="00CB5A9C" w:rsidRPr="00DA0824">
        <w:rPr>
          <w:rFonts w:ascii="Times New Roman" w:eastAsia="Times New Roman" w:hAnsi="Times New Roman" w:cs="Times New Roman"/>
          <w:color w:val="000000"/>
          <w:sz w:val="24"/>
          <w:szCs w:val="24"/>
        </w:rPr>
        <w:t xml:space="preserve">OGS TV created, produced and aired the original show </w:t>
      </w:r>
      <w:r w:rsidR="00CB5A9C" w:rsidRPr="00DA0824">
        <w:rPr>
          <w:rFonts w:ascii="Times New Roman" w:eastAsia="Times New Roman" w:hAnsi="Times New Roman" w:cs="Times New Roman"/>
          <w:i/>
          <w:color w:val="000000"/>
          <w:sz w:val="24"/>
          <w:szCs w:val="24"/>
        </w:rPr>
        <w:t>Lawless Love</w:t>
      </w:r>
      <w:r w:rsidR="00CB5A9C" w:rsidRPr="00DA0824">
        <w:rPr>
          <w:rFonts w:ascii="Times New Roman" w:eastAsia="Times New Roman" w:hAnsi="Times New Roman" w:cs="Times New Roman"/>
          <w:color w:val="000000"/>
          <w:sz w:val="24"/>
          <w:szCs w:val="24"/>
        </w:rPr>
        <w:t>, with the first 39 episodes written exclusively by the show’s eight writers. (</w:t>
      </w:r>
      <w:proofErr w:type="spellStart"/>
      <w:r w:rsidR="00CB5A9C" w:rsidRPr="00DA0824">
        <w:rPr>
          <w:rFonts w:ascii="Times New Roman" w:eastAsia="Times New Roman" w:hAnsi="Times New Roman" w:cs="Times New Roman"/>
          <w:color w:val="000000"/>
          <w:sz w:val="24"/>
          <w:szCs w:val="24"/>
        </w:rPr>
        <w:t>Com</w:t>
      </w:r>
      <w:r w:rsidR="00555AF0">
        <w:rPr>
          <w:rFonts w:ascii="Times New Roman" w:eastAsia="Times New Roman" w:hAnsi="Times New Roman" w:cs="Times New Roman"/>
          <w:color w:val="000000"/>
          <w:sz w:val="24"/>
          <w:szCs w:val="24"/>
        </w:rPr>
        <w:t>pl</w:t>
      </w:r>
      <w:proofErr w:type="spellEnd"/>
      <w:r w:rsidR="00CB5A9C" w:rsidRPr="00DA0824">
        <w:rPr>
          <w:rFonts w:ascii="Times New Roman" w:eastAsia="Times New Roman" w:hAnsi="Times New Roman" w:cs="Times New Roman"/>
          <w:color w:val="000000"/>
          <w:sz w:val="24"/>
          <w:szCs w:val="24"/>
        </w:rPr>
        <w:t xml:space="preserve">. ¶ 5, 7.)  Dave Nelson, on behalf of OGS TV, contacted Elizabeth Lime, a television </w:t>
      </w:r>
      <w:proofErr w:type="gramStart"/>
      <w:r w:rsidR="00CB5A9C" w:rsidRPr="00DA0824">
        <w:rPr>
          <w:rFonts w:ascii="Times New Roman" w:eastAsia="Times New Roman" w:hAnsi="Times New Roman" w:cs="Times New Roman"/>
          <w:color w:val="000000"/>
          <w:sz w:val="24"/>
          <w:szCs w:val="24"/>
        </w:rPr>
        <w:t>script writer</w:t>
      </w:r>
      <w:proofErr w:type="gramEnd"/>
      <w:r w:rsidR="00CB5A9C" w:rsidRPr="00DA0824">
        <w:rPr>
          <w:rFonts w:ascii="Times New Roman" w:eastAsia="Times New Roman" w:hAnsi="Times New Roman" w:cs="Times New Roman"/>
          <w:color w:val="000000"/>
          <w:sz w:val="24"/>
          <w:szCs w:val="24"/>
        </w:rPr>
        <w:t xml:space="preserve"> of over fifteen years, and requested she write a screenplay for the show </w:t>
      </w:r>
      <w:r w:rsidR="00CB5A9C" w:rsidRPr="00DA0824">
        <w:rPr>
          <w:rFonts w:ascii="Times New Roman" w:eastAsia="Times New Roman" w:hAnsi="Times New Roman" w:cs="Times New Roman"/>
          <w:i/>
          <w:color w:val="000000"/>
          <w:sz w:val="24"/>
          <w:szCs w:val="24"/>
        </w:rPr>
        <w:t>Lawless Love</w:t>
      </w:r>
      <w:r w:rsidR="00CB5A9C" w:rsidRPr="00DA0824">
        <w:rPr>
          <w:rFonts w:ascii="Times New Roman" w:eastAsia="Times New Roman" w:hAnsi="Times New Roman" w:cs="Times New Roman"/>
          <w:color w:val="000000"/>
          <w:sz w:val="24"/>
          <w:szCs w:val="24"/>
        </w:rPr>
        <w:t xml:space="preserve">. </w:t>
      </w:r>
      <w:bookmarkStart w:id="4" w:name="CITRUS_BOOKMARK1000000002"/>
      <w:proofErr w:type="gramStart"/>
      <w:r w:rsidR="00CB5A9C" w:rsidRPr="00DA0824">
        <w:rPr>
          <w:rFonts w:ascii="Times New Roman" w:eastAsia="Times New Roman" w:hAnsi="Times New Roman" w:cs="Times New Roman"/>
          <w:i/>
          <w:color w:val="000000"/>
          <w:sz w:val="24"/>
          <w:szCs w:val="24"/>
        </w:rPr>
        <w:t xml:space="preserve">Id. </w:t>
      </w:r>
      <w:r w:rsidRPr="00DA0824">
        <w:rPr>
          <w:rFonts w:ascii="Times New Roman" w:eastAsia="Times New Roman" w:hAnsi="Times New Roman" w:cs="Times New Roman"/>
          <w:color w:val="000000"/>
          <w:sz w:val="24"/>
          <w:szCs w:val="24"/>
        </w:rPr>
        <w:t xml:space="preserve">at </w:t>
      </w:r>
      <w:r w:rsidR="00CB5A9C" w:rsidRPr="00DA0824">
        <w:rPr>
          <w:rFonts w:ascii="Times New Roman" w:eastAsia="Times New Roman" w:hAnsi="Times New Roman" w:cs="Times New Roman"/>
          <w:i/>
          <w:color w:val="000000"/>
          <w:sz w:val="24"/>
          <w:szCs w:val="24"/>
        </w:rPr>
        <w:t>¶</w:t>
      </w:r>
      <w:r w:rsidR="00CB5A9C" w:rsidRPr="00DA0824">
        <w:rPr>
          <w:rFonts w:ascii="Times New Roman" w:eastAsia="Times New Roman" w:hAnsi="Times New Roman" w:cs="Times New Roman"/>
          <w:color w:val="000000"/>
          <w:sz w:val="24"/>
          <w:szCs w:val="24"/>
        </w:rPr>
        <w:t xml:space="preserve"> 9-12</w:t>
      </w:r>
      <w:bookmarkEnd w:id="4"/>
      <w:r w:rsidR="00CB5A9C" w:rsidRPr="00DA0824">
        <w:rPr>
          <w:rFonts w:ascii="Times New Roman" w:eastAsia="Times New Roman" w:hAnsi="Times New Roman" w:cs="Times New Roman"/>
          <w:color w:val="000000"/>
          <w:sz w:val="24"/>
          <w:szCs w:val="24"/>
        </w:rPr>
        <w:t>.</w:t>
      </w:r>
      <w:proofErr w:type="gramEnd"/>
      <w:r w:rsidR="00CB5A9C" w:rsidRPr="00DA0824">
        <w:rPr>
          <w:rFonts w:ascii="Times New Roman" w:eastAsia="Times New Roman" w:hAnsi="Times New Roman" w:cs="Times New Roman"/>
          <w:color w:val="000000"/>
          <w:sz w:val="24"/>
          <w:szCs w:val="24"/>
        </w:rPr>
        <w:t xml:space="preserve"> Nelson and Lime reached an oral agreement that Lime would prepare a screenplay for the show, for the price of $6,000. </w:t>
      </w:r>
      <w:bookmarkStart w:id="5" w:name="CITRUS_BOOKMARK1000000003"/>
      <w:proofErr w:type="gramStart"/>
      <w:r w:rsidR="00CB5A9C" w:rsidRPr="00DA0824">
        <w:rPr>
          <w:rFonts w:ascii="Times New Roman" w:eastAsia="Times New Roman" w:hAnsi="Times New Roman" w:cs="Times New Roman"/>
          <w:i/>
          <w:color w:val="000000"/>
          <w:sz w:val="24"/>
          <w:szCs w:val="24"/>
        </w:rPr>
        <w:t>Id.</w:t>
      </w:r>
      <w:r w:rsidR="000D4964" w:rsidRPr="00DA0824">
        <w:rPr>
          <w:rFonts w:ascii="Times New Roman" w:eastAsia="Times New Roman" w:hAnsi="Times New Roman" w:cs="Times New Roman"/>
          <w:i/>
          <w:color w:val="000000"/>
          <w:sz w:val="24"/>
          <w:szCs w:val="24"/>
        </w:rPr>
        <w:t xml:space="preserve"> </w:t>
      </w:r>
      <w:r w:rsidR="000D4964" w:rsidRPr="00DA0824">
        <w:rPr>
          <w:rFonts w:ascii="Times New Roman" w:eastAsia="Times New Roman" w:hAnsi="Times New Roman" w:cs="Times New Roman"/>
          <w:color w:val="000000"/>
          <w:sz w:val="24"/>
          <w:szCs w:val="24"/>
        </w:rPr>
        <w:t xml:space="preserve">at </w:t>
      </w:r>
      <w:r w:rsidR="00CB5A9C" w:rsidRPr="00DA0824">
        <w:rPr>
          <w:rFonts w:ascii="Times New Roman" w:eastAsia="Times New Roman" w:hAnsi="Times New Roman" w:cs="Times New Roman"/>
          <w:i/>
          <w:color w:val="000000"/>
          <w:sz w:val="24"/>
          <w:szCs w:val="24"/>
        </w:rPr>
        <w:t xml:space="preserve"> </w:t>
      </w:r>
      <w:r w:rsidR="00CB5A9C" w:rsidRPr="00DA0824">
        <w:rPr>
          <w:rFonts w:ascii="Times New Roman" w:eastAsia="Times New Roman" w:hAnsi="Times New Roman" w:cs="Times New Roman"/>
          <w:color w:val="000000"/>
          <w:sz w:val="24"/>
          <w:szCs w:val="24"/>
        </w:rPr>
        <w:t>¶15</w:t>
      </w:r>
      <w:bookmarkEnd w:id="5"/>
      <w:r w:rsidR="000D4964" w:rsidRPr="00DA0824">
        <w:rPr>
          <w:rFonts w:ascii="Times New Roman" w:eastAsia="Times New Roman" w:hAnsi="Times New Roman" w:cs="Times New Roman"/>
          <w:color w:val="000000"/>
          <w:sz w:val="24"/>
          <w:szCs w:val="24"/>
        </w:rPr>
        <w:t>.</w:t>
      </w:r>
      <w:proofErr w:type="gramEnd"/>
      <w:r w:rsidR="00CB5A9C" w:rsidRPr="00DA0824">
        <w:rPr>
          <w:rFonts w:ascii="Times New Roman" w:eastAsia="Times New Roman" w:hAnsi="Times New Roman" w:cs="Times New Roman"/>
          <w:color w:val="000000"/>
          <w:sz w:val="24"/>
          <w:szCs w:val="24"/>
        </w:rPr>
        <w:t xml:space="preserve">  In this oral agreement, Nelson encouraged Lime to use her own methods to</w:t>
      </w:r>
      <w:r w:rsidR="000D4964" w:rsidRPr="00DA0824">
        <w:rPr>
          <w:rFonts w:ascii="Times New Roman" w:eastAsia="Times New Roman" w:hAnsi="Times New Roman" w:cs="Times New Roman"/>
          <w:color w:val="000000"/>
          <w:sz w:val="24"/>
          <w:szCs w:val="24"/>
        </w:rPr>
        <w:t xml:space="preserve"> </w:t>
      </w:r>
      <w:bookmarkStart w:id="6" w:name="CITRUS_BOOKMARK1000000028"/>
      <w:r w:rsidR="000D4964" w:rsidRPr="00DA0824">
        <w:rPr>
          <w:rFonts w:ascii="Times New Roman" w:eastAsia="Times New Roman" w:hAnsi="Times New Roman" w:cs="Times New Roman"/>
          <w:color w:val="000000"/>
          <w:sz w:val="24"/>
          <w:szCs w:val="24"/>
        </w:rPr>
        <w:t xml:space="preserve">creative an original script.  </w:t>
      </w:r>
      <w:proofErr w:type="gramStart"/>
      <w:r w:rsidR="000D4964" w:rsidRPr="00DA0824">
        <w:rPr>
          <w:rFonts w:ascii="Times New Roman" w:eastAsia="Times New Roman" w:hAnsi="Times New Roman" w:cs="Times New Roman"/>
          <w:color w:val="000000"/>
          <w:sz w:val="24"/>
          <w:szCs w:val="24"/>
        </w:rPr>
        <w:t>Id. at ¶14</w:t>
      </w:r>
      <w:bookmarkEnd w:id="6"/>
      <w:r w:rsidR="000D4964" w:rsidRPr="00DA0824">
        <w:rPr>
          <w:rFonts w:ascii="Times New Roman" w:eastAsia="Times New Roman" w:hAnsi="Times New Roman" w:cs="Times New Roman"/>
          <w:color w:val="000000"/>
          <w:sz w:val="24"/>
          <w:szCs w:val="24"/>
        </w:rPr>
        <w:t>.</w:t>
      </w:r>
      <w:proofErr w:type="gramEnd"/>
      <w:r w:rsidR="00CB5A9C" w:rsidRPr="00DA0824">
        <w:rPr>
          <w:rFonts w:ascii="Times New Roman" w:eastAsia="Times New Roman" w:hAnsi="Times New Roman" w:cs="Times New Roman"/>
          <w:color w:val="000000"/>
          <w:sz w:val="24"/>
          <w:szCs w:val="24"/>
        </w:rPr>
        <w:t xml:space="preserve"> Another aspect of the oral agreement was Nelson clarifying with Lime that “Your work on the screenplay is for hire.  For all intents and purposes, we’ll be the author,” to which </w:t>
      </w:r>
      <w:proofErr w:type="gramStart"/>
      <w:r w:rsidR="00CB5A9C" w:rsidRPr="00DA0824">
        <w:rPr>
          <w:rFonts w:ascii="Times New Roman" w:eastAsia="Times New Roman" w:hAnsi="Times New Roman" w:cs="Times New Roman"/>
          <w:color w:val="000000"/>
          <w:sz w:val="24"/>
          <w:szCs w:val="24"/>
        </w:rPr>
        <w:t>she</w:t>
      </w:r>
      <w:proofErr w:type="gramEnd"/>
      <w:r w:rsidR="00CB5A9C" w:rsidRPr="00DA0824">
        <w:rPr>
          <w:rFonts w:ascii="Times New Roman" w:eastAsia="Times New Roman" w:hAnsi="Times New Roman" w:cs="Times New Roman"/>
          <w:color w:val="000000"/>
          <w:sz w:val="24"/>
          <w:szCs w:val="24"/>
        </w:rPr>
        <w:t xml:space="preserve"> agreed.  </w:t>
      </w:r>
      <w:bookmarkStart w:id="7" w:name="CITRUS_BOOKMARK1000000029"/>
      <w:proofErr w:type="gramStart"/>
      <w:r w:rsidR="000D4964" w:rsidRPr="00DA0824">
        <w:rPr>
          <w:rFonts w:ascii="Times New Roman" w:eastAsia="Times New Roman" w:hAnsi="Times New Roman" w:cs="Times New Roman"/>
          <w:color w:val="000000"/>
          <w:sz w:val="24"/>
          <w:szCs w:val="24"/>
        </w:rPr>
        <w:t>Id. at ¶16</w:t>
      </w:r>
      <w:bookmarkEnd w:id="7"/>
      <w:r w:rsidR="001647FA" w:rsidRPr="00DA0824">
        <w:rPr>
          <w:rFonts w:ascii="Times New Roman" w:eastAsia="Times New Roman" w:hAnsi="Times New Roman" w:cs="Times New Roman"/>
          <w:color w:val="000000"/>
          <w:sz w:val="24"/>
          <w:szCs w:val="24"/>
        </w:rPr>
        <w:t>, 17</w:t>
      </w:r>
      <w:r w:rsidR="000D4964" w:rsidRPr="00DA0824">
        <w:rPr>
          <w:rFonts w:ascii="Times New Roman" w:eastAsia="Times New Roman" w:hAnsi="Times New Roman" w:cs="Times New Roman"/>
          <w:color w:val="000000"/>
          <w:sz w:val="24"/>
          <w:szCs w:val="24"/>
        </w:rPr>
        <w:t>.</w:t>
      </w:r>
      <w:proofErr w:type="gramEnd"/>
      <w:r w:rsidR="001647FA" w:rsidRPr="00DA0824">
        <w:rPr>
          <w:rFonts w:ascii="Times New Roman" w:eastAsia="Times New Roman" w:hAnsi="Times New Roman" w:cs="Times New Roman"/>
          <w:color w:val="000000"/>
          <w:sz w:val="24"/>
          <w:szCs w:val="24"/>
        </w:rPr>
        <w:t xml:space="preserve"> </w:t>
      </w:r>
    </w:p>
    <w:p w14:paraId="6B3EB3E2" w14:textId="77777777" w:rsidR="004551B1" w:rsidRPr="00DA0824" w:rsidRDefault="004551B1" w:rsidP="003A31DF">
      <w:pPr>
        <w:spacing w:after="0" w:line="480" w:lineRule="auto"/>
        <w:rPr>
          <w:rFonts w:ascii="Times New Roman" w:hAnsi="Times New Roman" w:cs="Times New Roman"/>
          <w:color w:val="000000"/>
          <w:sz w:val="24"/>
          <w:szCs w:val="24"/>
        </w:rPr>
      </w:pPr>
      <w:r w:rsidRPr="00DA0824">
        <w:rPr>
          <w:rFonts w:ascii="Times New Roman" w:eastAsia="Times New Roman" w:hAnsi="Times New Roman" w:cs="Times New Roman"/>
          <w:color w:val="000000"/>
          <w:sz w:val="24"/>
          <w:szCs w:val="24"/>
        </w:rPr>
        <w:tab/>
      </w:r>
      <w:r w:rsidR="00CB5A9C" w:rsidRPr="00DA0824">
        <w:rPr>
          <w:rFonts w:ascii="Times New Roman" w:eastAsia="Times New Roman" w:hAnsi="Times New Roman" w:cs="Times New Roman"/>
          <w:color w:val="000000"/>
          <w:sz w:val="24"/>
          <w:szCs w:val="24"/>
        </w:rPr>
        <w:t>On April 1, 2010, Lime submitted a screenplay entitl</w:t>
      </w:r>
      <w:bookmarkStart w:id="8" w:name="CITRUS_BOOKMARK1000000006"/>
      <w:r w:rsidR="000D4964" w:rsidRPr="00DA0824">
        <w:rPr>
          <w:rFonts w:ascii="Times New Roman" w:eastAsia="Times New Roman" w:hAnsi="Times New Roman" w:cs="Times New Roman"/>
          <w:color w:val="000000"/>
          <w:sz w:val="24"/>
          <w:szCs w:val="24"/>
        </w:rPr>
        <w:t xml:space="preserve">ed “Anticipatory Repudiation.” </w:t>
      </w:r>
      <w:proofErr w:type="gramStart"/>
      <w:r w:rsidR="00CB5A9C" w:rsidRPr="00DA0824">
        <w:rPr>
          <w:rFonts w:ascii="Times New Roman" w:eastAsia="Times New Roman" w:hAnsi="Times New Roman" w:cs="Times New Roman"/>
          <w:i/>
          <w:color w:val="000000"/>
          <w:sz w:val="24"/>
          <w:szCs w:val="24"/>
        </w:rPr>
        <w:t>Id.</w:t>
      </w:r>
      <w:r w:rsidR="000D4964" w:rsidRPr="00DA0824">
        <w:rPr>
          <w:rFonts w:ascii="Times New Roman" w:eastAsia="Times New Roman" w:hAnsi="Times New Roman" w:cs="Times New Roman"/>
          <w:i/>
          <w:color w:val="000000"/>
          <w:sz w:val="24"/>
          <w:szCs w:val="24"/>
        </w:rPr>
        <w:t xml:space="preserve"> </w:t>
      </w:r>
      <w:r w:rsidR="000D4964" w:rsidRPr="00DA0824">
        <w:rPr>
          <w:rFonts w:ascii="Times New Roman" w:eastAsia="Times New Roman" w:hAnsi="Times New Roman" w:cs="Times New Roman"/>
          <w:color w:val="000000"/>
          <w:sz w:val="24"/>
          <w:szCs w:val="24"/>
        </w:rPr>
        <w:t>at</w:t>
      </w:r>
      <w:r w:rsidR="00CB5A9C" w:rsidRPr="00DA0824">
        <w:rPr>
          <w:rFonts w:ascii="Times New Roman" w:eastAsia="Times New Roman" w:hAnsi="Times New Roman" w:cs="Times New Roman"/>
          <w:color w:val="000000"/>
          <w:sz w:val="24"/>
          <w:szCs w:val="24"/>
        </w:rPr>
        <w:t xml:space="preserve"> ¶21</w:t>
      </w:r>
      <w:bookmarkEnd w:id="8"/>
      <w:r w:rsidR="001647FA" w:rsidRPr="00DA0824">
        <w:rPr>
          <w:rFonts w:ascii="Times New Roman" w:eastAsia="Times New Roman" w:hAnsi="Times New Roman" w:cs="Times New Roman"/>
          <w:color w:val="000000"/>
          <w:sz w:val="24"/>
          <w:szCs w:val="24"/>
        </w:rPr>
        <w:t>.</w:t>
      </w:r>
      <w:proofErr w:type="gramEnd"/>
      <w:r w:rsidR="00CB5A9C" w:rsidRPr="00DA0824">
        <w:rPr>
          <w:rFonts w:ascii="Times New Roman" w:eastAsia="Times New Roman" w:hAnsi="Times New Roman" w:cs="Times New Roman"/>
          <w:color w:val="000000"/>
          <w:sz w:val="24"/>
          <w:szCs w:val="24"/>
        </w:rPr>
        <w:t xml:space="preserve">  The following day, OGS TV complied with all copyright laws of the US, securing the exclusive rights, including receiving a certificate of registration from the Register of Copyrights, which served to secure the exclusive rights and privileges in and to the televisi</w:t>
      </w:r>
      <w:bookmarkStart w:id="9" w:name="CITRUS_BOOKMARK1000000007"/>
      <w:r w:rsidR="000D4964" w:rsidRPr="00DA0824">
        <w:rPr>
          <w:rFonts w:ascii="Times New Roman" w:eastAsia="Times New Roman" w:hAnsi="Times New Roman" w:cs="Times New Roman"/>
          <w:color w:val="000000"/>
          <w:sz w:val="24"/>
          <w:szCs w:val="24"/>
        </w:rPr>
        <w:t xml:space="preserve">on screenplay. </w:t>
      </w:r>
      <w:proofErr w:type="gramStart"/>
      <w:r w:rsidR="00CB5A9C" w:rsidRPr="00DA0824">
        <w:rPr>
          <w:rFonts w:ascii="Times New Roman" w:eastAsia="Times New Roman" w:hAnsi="Times New Roman" w:cs="Times New Roman"/>
          <w:i/>
          <w:color w:val="000000"/>
          <w:sz w:val="24"/>
          <w:szCs w:val="24"/>
        </w:rPr>
        <w:t>Id.</w:t>
      </w:r>
      <w:r w:rsidR="00CB5A9C" w:rsidRPr="00DA0824">
        <w:rPr>
          <w:rFonts w:ascii="Times New Roman" w:eastAsia="Times New Roman" w:hAnsi="Times New Roman" w:cs="Times New Roman"/>
          <w:color w:val="000000"/>
          <w:sz w:val="24"/>
          <w:szCs w:val="24"/>
        </w:rPr>
        <w:t xml:space="preserve"> </w:t>
      </w:r>
      <w:r w:rsidR="000D4964" w:rsidRPr="00DA0824">
        <w:rPr>
          <w:rFonts w:ascii="Times New Roman" w:eastAsia="Times New Roman" w:hAnsi="Times New Roman" w:cs="Times New Roman"/>
          <w:color w:val="000000"/>
          <w:sz w:val="24"/>
          <w:szCs w:val="24"/>
        </w:rPr>
        <w:t xml:space="preserve">at </w:t>
      </w:r>
      <w:r w:rsidR="00CB5A9C" w:rsidRPr="00DA0824">
        <w:rPr>
          <w:rFonts w:ascii="Times New Roman" w:eastAsia="Times New Roman" w:hAnsi="Times New Roman" w:cs="Times New Roman"/>
          <w:color w:val="000000"/>
          <w:sz w:val="24"/>
          <w:szCs w:val="24"/>
        </w:rPr>
        <w:t>¶22</w:t>
      </w:r>
      <w:bookmarkEnd w:id="9"/>
      <w:r w:rsidR="000D4964" w:rsidRPr="00DA0824">
        <w:rPr>
          <w:rFonts w:ascii="Times New Roman" w:eastAsia="Times New Roman" w:hAnsi="Times New Roman" w:cs="Times New Roman"/>
          <w:color w:val="000000"/>
          <w:sz w:val="24"/>
          <w:szCs w:val="24"/>
        </w:rPr>
        <w:t>.</w:t>
      </w:r>
      <w:proofErr w:type="gramEnd"/>
      <w:r w:rsidR="00CB5A9C" w:rsidRPr="00DA0824">
        <w:rPr>
          <w:rFonts w:ascii="Times New Roman" w:eastAsia="Times New Roman" w:hAnsi="Times New Roman" w:cs="Times New Roman"/>
          <w:color w:val="000000"/>
          <w:sz w:val="24"/>
          <w:szCs w:val="24"/>
        </w:rPr>
        <w:t xml:space="preserve">  When Lime came to the office to accept her payment, she signed a document labeled “Work-Made-For-Hire Agreement” which included the phrase “</w:t>
      </w:r>
      <w:r w:rsidR="00CB5A9C" w:rsidRPr="00DA0824">
        <w:rPr>
          <w:rFonts w:ascii="Times New Roman" w:hAnsi="Times New Roman" w:cs="Times New Roman"/>
          <w:color w:val="000000"/>
          <w:sz w:val="24"/>
          <w:szCs w:val="24"/>
        </w:rPr>
        <w:t xml:space="preserve">I understand and agree that I have prepared the screenplay, ‘Anticipatory Repudiation,’ as a work made for hire under the federal Copyright Act of 1976. Pursuant to this law, OGS TV is the author of this screenplay.” </w:t>
      </w:r>
      <w:r w:rsidR="00CB5A9C" w:rsidRPr="00DA0824">
        <w:rPr>
          <w:rFonts w:ascii="Times New Roman" w:eastAsia="Times New Roman" w:hAnsi="Times New Roman" w:cs="Times New Roman"/>
          <w:color w:val="000000"/>
          <w:sz w:val="24"/>
          <w:szCs w:val="24"/>
        </w:rPr>
        <w:t>(</w:t>
      </w:r>
      <w:bookmarkStart w:id="10" w:name="CITRUS_BOOKMARK1000000008"/>
      <w:r w:rsidR="00CB5A9C" w:rsidRPr="00DA0824">
        <w:rPr>
          <w:rFonts w:ascii="Times New Roman" w:eastAsia="Times New Roman" w:hAnsi="Times New Roman" w:cs="Times New Roman"/>
          <w:i/>
          <w:color w:val="000000"/>
          <w:sz w:val="24"/>
          <w:szCs w:val="24"/>
        </w:rPr>
        <w:t>Id.</w:t>
      </w:r>
      <w:r w:rsidR="00CB5A9C" w:rsidRPr="00DA0824">
        <w:rPr>
          <w:rFonts w:ascii="Times New Roman" w:eastAsia="Times New Roman" w:hAnsi="Times New Roman" w:cs="Times New Roman"/>
          <w:color w:val="000000"/>
          <w:sz w:val="24"/>
          <w:szCs w:val="24"/>
        </w:rPr>
        <w:t xml:space="preserve"> ¶ 24</w:t>
      </w:r>
      <w:bookmarkEnd w:id="10"/>
      <w:r w:rsidR="00CB5A9C" w:rsidRPr="00DA0824">
        <w:rPr>
          <w:rFonts w:ascii="Times New Roman" w:eastAsia="Times New Roman" w:hAnsi="Times New Roman" w:cs="Times New Roman"/>
          <w:color w:val="000000"/>
          <w:sz w:val="24"/>
          <w:szCs w:val="24"/>
        </w:rPr>
        <w:t xml:space="preserve">.) Dave Nelson signed the </w:t>
      </w:r>
      <w:bookmarkStart w:id="11" w:name="CITRUS_BOOKMARK1000000009"/>
      <w:r w:rsidR="000D4964" w:rsidRPr="00DA0824">
        <w:rPr>
          <w:rFonts w:ascii="Times New Roman" w:eastAsia="Times New Roman" w:hAnsi="Times New Roman" w:cs="Times New Roman"/>
          <w:color w:val="000000"/>
          <w:sz w:val="24"/>
          <w:szCs w:val="24"/>
        </w:rPr>
        <w:t xml:space="preserve">document on the following day. </w:t>
      </w:r>
      <w:proofErr w:type="gramStart"/>
      <w:r w:rsidR="00CB5A9C" w:rsidRPr="00DA0824">
        <w:rPr>
          <w:rFonts w:ascii="Times New Roman" w:eastAsia="Times New Roman" w:hAnsi="Times New Roman" w:cs="Times New Roman"/>
          <w:i/>
          <w:color w:val="000000"/>
          <w:sz w:val="24"/>
          <w:szCs w:val="24"/>
        </w:rPr>
        <w:t>Id.</w:t>
      </w:r>
      <w:r w:rsidR="00CB5A9C" w:rsidRPr="00DA0824">
        <w:rPr>
          <w:rFonts w:ascii="Times New Roman" w:eastAsia="Times New Roman" w:hAnsi="Times New Roman" w:cs="Times New Roman"/>
          <w:color w:val="000000"/>
          <w:sz w:val="24"/>
          <w:szCs w:val="24"/>
        </w:rPr>
        <w:t xml:space="preserve"> </w:t>
      </w:r>
      <w:r w:rsidR="000D4964" w:rsidRPr="00DA0824">
        <w:rPr>
          <w:rFonts w:ascii="Times New Roman" w:eastAsia="Times New Roman" w:hAnsi="Times New Roman" w:cs="Times New Roman"/>
          <w:color w:val="000000"/>
          <w:sz w:val="24"/>
          <w:szCs w:val="24"/>
        </w:rPr>
        <w:t xml:space="preserve">at </w:t>
      </w:r>
      <w:r w:rsidR="00CB5A9C" w:rsidRPr="00DA0824">
        <w:rPr>
          <w:rFonts w:ascii="Times New Roman" w:eastAsia="Times New Roman" w:hAnsi="Times New Roman" w:cs="Times New Roman"/>
          <w:color w:val="000000"/>
          <w:sz w:val="24"/>
          <w:szCs w:val="24"/>
        </w:rPr>
        <w:t>¶25</w:t>
      </w:r>
      <w:bookmarkEnd w:id="11"/>
      <w:r w:rsidR="000D4964" w:rsidRPr="00DA0824">
        <w:rPr>
          <w:rFonts w:ascii="Times New Roman" w:eastAsia="Times New Roman" w:hAnsi="Times New Roman" w:cs="Times New Roman"/>
          <w:color w:val="000000"/>
          <w:sz w:val="24"/>
          <w:szCs w:val="24"/>
        </w:rPr>
        <w:t>.</w:t>
      </w:r>
      <w:proofErr w:type="gramEnd"/>
      <w:r w:rsidR="00CB5A9C" w:rsidRPr="00DA0824">
        <w:rPr>
          <w:rFonts w:ascii="Times New Roman" w:hAnsi="Times New Roman" w:cs="Times New Roman"/>
          <w:color w:val="000000"/>
          <w:sz w:val="24"/>
          <w:szCs w:val="24"/>
        </w:rPr>
        <w:t xml:space="preserve">  OGS TV decided not to use the screenplay as the basis of an episode of their show, and informed Lime of their decision. </w:t>
      </w:r>
      <w:bookmarkStart w:id="12" w:name="CITRUS_BOOKMARK1000000010"/>
      <w:proofErr w:type="gramStart"/>
      <w:r w:rsidR="00CB5A9C" w:rsidRPr="00DA0824">
        <w:rPr>
          <w:rFonts w:ascii="Times New Roman" w:eastAsia="Times New Roman" w:hAnsi="Times New Roman" w:cs="Times New Roman"/>
          <w:i/>
          <w:color w:val="000000"/>
          <w:sz w:val="24"/>
          <w:szCs w:val="24"/>
        </w:rPr>
        <w:t>Id.</w:t>
      </w:r>
      <w:r w:rsidR="00CB5A9C" w:rsidRPr="00DA0824">
        <w:rPr>
          <w:rFonts w:ascii="Times New Roman" w:eastAsia="Times New Roman" w:hAnsi="Times New Roman" w:cs="Times New Roman"/>
          <w:color w:val="000000"/>
          <w:sz w:val="24"/>
          <w:szCs w:val="24"/>
        </w:rPr>
        <w:t xml:space="preserve"> </w:t>
      </w:r>
      <w:r w:rsidR="000D4964" w:rsidRPr="00DA0824">
        <w:rPr>
          <w:rFonts w:ascii="Times New Roman" w:eastAsia="Times New Roman" w:hAnsi="Times New Roman" w:cs="Times New Roman"/>
          <w:color w:val="000000"/>
          <w:sz w:val="24"/>
          <w:szCs w:val="24"/>
        </w:rPr>
        <w:t xml:space="preserve">at </w:t>
      </w:r>
      <w:r w:rsidR="00CB5A9C" w:rsidRPr="00DA0824">
        <w:rPr>
          <w:rFonts w:ascii="Times New Roman" w:eastAsia="Times New Roman" w:hAnsi="Times New Roman" w:cs="Times New Roman"/>
          <w:color w:val="000000"/>
          <w:sz w:val="24"/>
          <w:szCs w:val="24"/>
        </w:rPr>
        <w:t>¶26</w:t>
      </w:r>
      <w:bookmarkEnd w:id="12"/>
      <w:r w:rsidR="000D4964" w:rsidRPr="00DA0824">
        <w:rPr>
          <w:rFonts w:ascii="Times New Roman" w:eastAsia="Times New Roman" w:hAnsi="Times New Roman" w:cs="Times New Roman"/>
          <w:color w:val="000000"/>
          <w:sz w:val="24"/>
          <w:szCs w:val="24"/>
        </w:rPr>
        <w:t>.</w:t>
      </w:r>
      <w:proofErr w:type="gramEnd"/>
      <w:r w:rsidR="00CB5A9C" w:rsidRPr="00DA0824">
        <w:rPr>
          <w:rFonts w:ascii="Times New Roman" w:hAnsi="Times New Roman" w:cs="Times New Roman"/>
          <w:color w:val="000000"/>
          <w:sz w:val="24"/>
          <w:szCs w:val="24"/>
        </w:rPr>
        <w:t xml:space="preserve">  </w:t>
      </w:r>
    </w:p>
    <w:p w14:paraId="5F87E65A" w14:textId="77777777" w:rsidR="00CB5A9C" w:rsidRPr="00DA0824" w:rsidRDefault="004551B1" w:rsidP="003A31DF">
      <w:pPr>
        <w:spacing w:after="0" w:line="480" w:lineRule="auto"/>
        <w:rPr>
          <w:rFonts w:ascii="Times New Roman" w:eastAsia="Times New Roman" w:hAnsi="Times New Roman" w:cs="Times New Roman"/>
          <w:color w:val="000000"/>
          <w:sz w:val="24"/>
          <w:szCs w:val="24"/>
        </w:rPr>
      </w:pPr>
      <w:r w:rsidRPr="00DA0824">
        <w:rPr>
          <w:rFonts w:ascii="Times New Roman" w:hAnsi="Times New Roman" w:cs="Times New Roman"/>
          <w:color w:val="000000"/>
          <w:sz w:val="24"/>
          <w:szCs w:val="24"/>
        </w:rPr>
        <w:tab/>
      </w:r>
      <w:r w:rsidR="00CB5A9C" w:rsidRPr="00DA0824">
        <w:rPr>
          <w:rFonts w:ascii="Times New Roman" w:hAnsi="Times New Roman" w:cs="Times New Roman"/>
          <w:color w:val="000000"/>
          <w:sz w:val="24"/>
          <w:szCs w:val="24"/>
        </w:rPr>
        <w:t xml:space="preserve">In August of the same year, Lime and TinyTV began working on a new series entitled </w:t>
      </w:r>
      <w:r w:rsidR="00CB5A9C" w:rsidRPr="00DA0824">
        <w:rPr>
          <w:rFonts w:ascii="Times New Roman" w:hAnsi="Times New Roman" w:cs="Times New Roman"/>
          <w:i/>
          <w:color w:val="000000"/>
          <w:sz w:val="24"/>
          <w:szCs w:val="24"/>
        </w:rPr>
        <w:t>The Tin Can</w:t>
      </w:r>
      <w:r w:rsidR="00CB5A9C" w:rsidRPr="00DA0824">
        <w:rPr>
          <w:rFonts w:ascii="Times New Roman" w:hAnsi="Times New Roman" w:cs="Times New Roman"/>
          <w:color w:val="000000"/>
          <w:sz w:val="24"/>
          <w:szCs w:val="24"/>
        </w:rPr>
        <w:t xml:space="preserve">. </w:t>
      </w:r>
      <w:bookmarkStart w:id="13" w:name="CITRUS_BOOKMARK1000000011"/>
      <w:r w:rsidR="00CB5A9C" w:rsidRPr="00555AF0">
        <w:rPr>
          <w:rFonts w:ascii="Times New Roman" w:eastAsia="Times New Roman" w:hAnsi="Times New Roman" w:cs="Times New Roman"/>
          <w:i/>
          <w:color w:val="000000"/>
          <w:sz w:val="24"/>
          <w:szCs w:val="24"/>
        </w:rPr>
        <w:t>Id.</w:t>
      </w:r>
      <w:r w:rsidR="00CB5A9C" w:rsidRPr="00555AF0">
        <w:rPr>
          <w:rFonts w:ascii="Times New Roman" w:eastAsia="Times New Roman" w:hAnsi="Times New Roman" w:cs="Times New Roman"/>
          <w:color w:val="000000"/>
          <w:sz w:val="24"/>
          <w:szCs w:val="24"/>
        </w:rPr>
        <w:t xml:space="preserve"> </w:t>
      </w:r>
      <w:r w:rsidR="00555AF0" w:rsidRPr="00555AF0">
        <w:rPr>
          <w:rFonts w:ascii="Times New Roman" w:eastAsia="Times New Roman" w:hAnsi="Times New Roman" w:cs="Times New Roman"/>
          <w:color w:val="000000"/>
          <w:sz w:val="24"/>
          <w:szCs w:val="24"/>
        </w:rPr>
        <w:t xml:space="preserve">at </w:t>
      </w:r>
      <w:r w:rsidR="00CB5A9C" w:rsidRPr="00555AF0">
        <w:rPr>
          <w:rFonts w:ascii="Times New Roman" w:eastAsia="Times New Roman" w:hAnsi="Times New Roman" w:cs="Times New Roman"/>
          <w:color w:val="000000"/>
          <w:sz w:val="24"/>
          <w:szCs w:val="24"/>
        </w:rPr>
        <w:t>¶27</w:t>
      </w:r>
      <w:bookmarkEnd w:id="13"/>
      <w:r w:rsidR="00555AF0">
        <w:rPr>
          <w:rFonts w:ascii="Times New Roman" w:eastAsia="Times New Roman" w:hAnsi="Times New Roman" w:cs="Times New Roman"/>
          <w:color w:val="000000"/>
          <w:sz w:val="24"/>
          <w:szCs w:val="24"/>
        </w:rPr>
        <w:t>.</w:t>
      </w:r>
      <w:r w:rsidR="00CB5A9C" w:rsidRPr="00DA0824">
        <w:rPr>
          <w:rFonts w:ascii="Times New Roman" w:hAnsi="Times New Roman" w:cs="Times New Roman"/>
          <w:color w:val="000000"/>
          <w:sz w:val="24"/>
          <w:szCs w:val="24"/>
        </w:rPr>
        <w:t xml:space="preserve">  The pilot episode that they produced, entitled “The Love Below” copied large parts from the screenplay “Anticipatory Repudiation,” without the knowledge or consent of </w:t>
      </w:r>
      <w:r w:rsidR="00CB5A9C" w:rsidRPr="00DA0824">
        <w:rPr>
          <w:rFonts w:ascii="Times New Roman" w:hAnsi="Times New Roman" w:cs="Times New Roman"/>
          <w:color w:val="000000"/>
          <w:sz w:val="24"/>
          <w:szCs w:val="24"/>
        </w:rPr>
        <w:lastRenderedPageBreak/>
        <w:t xml:space="preserve">OGS TV, who held the exclusive rights and privileges to that screenplay. </w:t>
      </w:r>
      <w:bookmarkStart w:id="14" w:name="CITRUS_BOOKMARK1000000012"/>
      <w:r w:rsidR="00CB5A9C" w:rsidRPr="00555AF0">
        <w:rPr>
          <w:rFonts w:ascii="Times New Roman" w:eastAsia="Times New Roman" w:hAnsi="Times New Roman" w:cs="Times New Roman"/>
          <w:i/>
          <w:color w:val="000000"/>
          <w:sz w:val="24"/>
          <w:szCs w:val="24"/>
        </w:rPr>
        <w:t>Id.</w:t>
      </w:r>
      <w:r w:rsidR="00CB5A9C" w:rsidRPr="00555AF0">
        <w:rPr>
          <w:rFonts w:ascii="Times New Roman" w:eastAsia="Times New Roman" w:hAnsi="Times New Roman" w:cs="Times New Roman"/>
          <w:color w:val="000000"/>
          <w:sz w:val="24"/>
          <w:szCs w:val="24"/>
        </w:rPr>
        <w:t xml:space="preserve"> </w:t>
      </w:r>
      <w:r w:rsidR="00555AF0" w:rsidRPr="00555AF0">
        <w:rPr>
          <w:rFonts w:ascii="Times New Roman" w:eastAsia="Times New Roman" w:hAnsi="Times New Roman" w:cs="Times New Roman"/>
          <w:color w:val="000000"/>
          <w:sz w:val="24"/>
          <w:szCs w:val="24"/>
        </w:rPr>
        <w:t xml:space="preserve">at </w:t>
      </w:r>
      <w:r w:rsidR="00CB5A9C" w:rsidRPr="00555AF0">
        <w:rPr>
          <w:rFonts w:ascii="Times New Roman" w:eastAsia="Times New Roman" w:hAnsi="Times New Roman" w:cs="Times New Roman"/>
          <w:color w:val="000000"/>
          <w:sz w:val="24"/>
          <w:szCs w:val="24"/>
        </w:rPr>
        <w:t>¶</w:t>
      </w:r>
      <w:proofErr w:type="gramStart"/>
      <w:r w:rsidR="00CB5A9C" w:rsidRPr="00555AF0">
        <w:rPr>
          <w:rFonts w:ascii="Times New Roman" w:eastAsia="Times New Roman" w:hAnsi="Times New Roman" w:cs="Times New Roman"/>
          <w:color w:val="000000"/>
          <w:sz w:val="24"/>
          <w:szCs w:val="24"/>
        </w:rPr>
        <w:t>28,29</w:t>
      </w:r>
      <w:bookmarkEnd w:id="14"/>
      <w:r w:rsidR="00CB5A9C" w:rsidRPr="00DA0824">
        <w:rPr>
          <w:rFonts w:ascii="Times New Roman" w:hAnsi="Times New Roman" w:cs="Times New Roman"/>
          <w:color w:val="000000"/>
          <w:sz w:val="24"/>
          <w:szCs w:val="24"/>
        </w:rPr>
        <w:t xml:space="preserve">  The</w:t>
      </w:r>
      <w:proofErr w:type="gramEnd"/>
      <w:r w:rsidR="00CB5A9C" w:rsidRPr="00DA0824">
        <w:rPr>
          <w:rFonts w:ascii="Times New Roman" w:hAnsi="Times New Roman" w:cs="Times New Roman"/>
          <w:color w:val="000000"/>
          <w:sz w:val="24"/>
          <w:szCs w:val="24"/>
        </w:rPr>
        <w:t xml:space="preserve"> two screenplays shared identical dialogue, characters and storylines, with only details, such as names of characters, changed.  </w:t>
      </w:r>
      <w:bookmarkStart w:id="15" w:name="CITRUS_BOOKMARK1000000013"/>
      <w:proofErr w:type="gramStart"/>
      <w:r w:rsidR="00CB5A9C" w:rsidRPr="00777E0F">
        <w:rPr>
          <w:rFonts w:ascii="Times New Roman" w:eastAsia="Times New Roman" w:hAnsi="Times New Roman" w:cs="Times New Roman"/>
          <w:i/>
          <w:color w:val="000000"/>
          <w:sz w:val="24"/>
          <w:szCs w:val="24"/>
        </w:rPr>
        <w:t>Id.</w:t>
      </w:r>
      <w:r w:rsidR="00CB5A9C" w:rsidRPr="00777E0F">
        <w:rPr>
          <w:rFonts w:ascii="Times New Roman" w:eastAsia="Times New Roman" w:hAnsi="Times New Roman" w:cs="Times New Roman"/>
          <w:color w:val="000000"/>
          <w:sz w:val="24"/>
          <w:szCs w:val="24"/>
        </w:rPr>
        <w:t xml:space="preserve"> </w:t>
      </w:r>
      <w:r w:rsidR="00555AF0" w:rsidRPr="00777E0F">
        <w:rPr>
          <w:rFonts w:ascii="Times New Roman" w:eastAsia="Times New Roman" w:hAnsi="Times New Roman" w:cs="Times New Roman"/>
          <w:color w:val="000000"/>
          <w:sz w:val="24"/>
          <w:szCs w:val="24"/>
        </w:rPr>
        <w:t xml:space="preserve">at </w:t>
      </w:r>
      <w:r w:rsidR="00CB5A9C" w:rsidRPr="00777E0F">
        <w:rPr>
          <w:rFonts w:ascii="Times New Roman" w:eastAsia="Times New Roman" w:hAnsi="Times New Roman" w:cs="Times New Roman"/>
          <w:color w:val="000000"/>
          <w:sz w:val="24"/>
          <w:szCs w:val="24"/>
        </w:rPr>
        <w:t>¶31</w:t>
      </w:r>
      <w:bookmarkEnd w:id="15"/>
      <w:r w:rsidR="00555AF0">
        <w:rPr>
          <w:rFonts w:ascii="Times New Roman" w:eastAsia="Times New Roman" w:hAnsi="Times New Roman" w:cs="Times New Roman"/>
          <w:color w:val="000000"/>
          <w:sz w:val="24"/>
          <w:szCs w:val="24"/>
        </w:rPr>
        <w:t>.</w:t>
      </w:r>
      <w:proofErr w:type="gramEnd"/>
    </w:p>
    <w:p w14:paraId="7B9CF145" w14:textId="77777777" w:rsidR="00CB5A9C" w:rsidRPr="00DA0824" w:rsidRDefault="00CB5A9C" w:rsidP="003A31DF">
      <w:pPr>
        <w:spacing w:after="0" w:line="480" w:lineRule="auto"/>
        <w:ind w:firstLine="720"/>
        <w:rPr>
          <w:rFonts w:ascii="Times New Roman" w:eastAsia="Times New Roman" w:hAnsi="Times New Roman" w:cs="Times New Roman"/>
          <w:color w:val="000000"/>
          <w:sz w:val="24"/>
          <w:szCs w:val="24"/>
        </w:rPr>
      </w:pPr>
    </w:p>
    <w:p w14:paraId="4EE0D775" w14:textId="77777777" w:rsidR="00CB5A9C" w:rsidRPr="00DA0824" w:rsidRDefault="00CB5A9C" w:rsidP="003A31DF">
      <w:pPr>
        <w:spacing w:after="0" w:line="480" w:lineRule="auto"/>
        <w:jc w:val="center"/>
        <w:rPr>
          <w:rFonts w:ascii="Times New Roman" w:eastAsia="Times New Roman" w:hAnsi="Times New Roman" w:cs="Times New Roman"/>
          <w:b/>
          <w:color w:val="000000"/>
          <w:sz w:val="28"/>
          <w:szCs w:val="28"/>
          <w:u w:val="single"/>
        </w:rPr>
      </w:pPr>
      <w:r w:rsidRPr="00DA0824">
        <w:rPr>
          <w:rFonts w:ascii="Times New Roman" w:eastAsia="Times New Roman" w:hAnsi="Times New Roman" w:cs="Times New Roman"/>
          <w:b/>
          <w:color w:val="000000"/>
          <w:sz w:val="28"/>
          <w:szCs w:val="28"/>
          <w:u w:val="single"/>
        </w:rPr>
        <w:t>ARGUMENT</w:t>
      </w:r>
    </w:p>
    <w:p w14:paraId="22B672DB" w14:textId="77777777" w:rsidR="00F11824" w:rsidRPr="00F11824" w:rsidRDefault="00F11824" w:rsidP="003A31DF">
      <w:pPr>
        <w:pStyle w:val="ListParagraph"/>
        <w:numPr>
          <w:ilvl w:val="0"/>
          <w:numId w:val="3"/>
        </w:numP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Standard of Review</w:t>
      </w:r>
    </w:p>
    <w:p w14:paraId="4C60FCBF" w14:textId="77777777" w:rsidR="00935D90" w:rsidRPr="00DA0824" w:rsidRDefault="00CB5A9C" w:rsidP="003A31DF">
      <w:pPr>
        <w:spacing w:after="0" w:line="480" w:lineRule="auto"/>
        <w:ind w:firstLine="720"/>
        <w:rPr>
          <w:rFonts w:ascii="Times New Roman" w:eastAsia="Times New Roman" w:hAnsi="Times New Roman" w:cs="Times New Roman"/>
          <w:color w:val="000000"/>
          <w:sz w:val="24"/>
          <w:szCs w:val="24"/>
        </w:rPr>
      </w:pPr>
      <w:r w:rsidRPr="00DA0824">
        <w:rPr>
          <w:rFonts w:ascii="Times New Roman" w:eastAsia="Times New Roman" w:hAnsi="Times New Roman" w:cs="Times New Roman"/>
          <w:color w:val="000000"/>
          <w:sz w:val="24"/>
          <w:szCs w:val="24"/>
        </w:rPr>
        <w:t xml:space="preserve">Elizabeth Lime and </w:t>
      </w:r>
      <w:proofErr w:type="spellStart"/>
      <w:r w:rsidRPr="00DA0824">
        <w:rPr>
          <w:rFonts w:ascii="Times New Roman" w:eastAsia="Times New Roman" w:hAnsi="Times New Roman" w:cs="Times New Roman"/>
          <w:color w:val="000000"/>
          <w:sz w:val="24"/>
          <w:szCs w:val="24"/>
        </w:rPr>
        <w:t>TinyTV</w:t>
      </w:r>
      <w:proofErr w:type="spellEnd"/>
      <w:r w:rsidRPr="00DA0824">
        <w:rPr>
          <w:rFonts w:ascii="Times New Roman" w:eastAsia="Times New Roman" w:hAnsi="Times New Roman" w:cs="Times New Roman"/>
          <w:color w:val="000000"/>
          <w:sz w:val="24"/>
          <w:szCs w:val="24"/>
        </w:rPr>
        <w:t xml:space="preserve"> committe</w:t>
      </w:r>
      <w:r w:rsidR="001B2EBB">
        <w:rPr>
          <w:rFonts w:ascii="Times New Roman" w:eastAsia="Times New Roman" w:hAnsi="Times New Roman" w:cs="Times New Roman"/>
          <w:color w:val="000000"/>
          <w:sz w:val="24"/>
          <w:szCs w:val="24"/>
        </w:rPr>
        <w:t>d copyright infringement with thei</w:t>
      </w:r>
      <w:r w:rsidRPr="00DA0824">
        <w:rPr>
          <w:rFonts w:ascii="Times New Roman" w:eastAsia="Times New Roman" w:hAnsi="Times New Roman" w:cs="Times New Roman"/>
          <w:color w:val="000000"/>
          <w:sz w:val="24"/>
          <w:szCs w:val="24"/>
        </w:rPr>
        <w:t xml:space="preserve">r use of the screenplay “Anticipatory Repudiation” </w:t>
      </w:r>
      <w:r w:rsidR="00777E0F">
        <w:rPr>
          <w:rFonts w:ascii="Times New Roman" w:eastAsia="Times New Roman" w:hAnsi="Times New Roman" w:cs="Times New Roman"/>
          <w:color w:val="000000"/>
          <w:sz w:val="24"/>
          <w:szCs w:val="24"/>
        </w:rPr>
        <w:t xml:space="preserve">as the basis of the pilot for the show </w:t>
      </w:r>
      <w:r w:rsidR="00777E0F">
        <w:rPr>
          <w:rFonts w:ascii="Times New Roman" w:eastAsia="Times New Roman" w:hAnsi="Times New Roman" w:cs="Times New Roman"/>
          <w:i/>
          <w:color w:val="000000"/>
          <w:sz w:val="24"/>
          <w:szCs w:val="24"/>
        </w:rPr>
        <w:t xml:space="preserve">The Tin Can.  </w:t>
      </w:r>
      <w:r w:rsidR="00777E0F">
        <w:rPr>
          <w:rFonts w:ascii="Times New Roman" w:eastAsia="Times New Roman" w:hAnsi="Times New Roman" w:cs="Times New Roman"/>
          <w:color w:val="000000"/>
          <w:sz w:val="24"/>
          <w:szCs w:val="24"/>
        </w:rPr>
        <w:t xml:space="preserve">Lime had </w:t>
      </w:r>
      <w:r w:rsidRPr="00DA0824">
        <w:rPr>
          <w:rFonts w:ascii="Times New Roman" w:eastAsia="Times New Roman" w:hAnsi="Times New Roman" w:cs="Times New Roman"/>
          <w:color w:val="000000"/>
          <w:sz w:val="24"/>
          <w:szCs w:val="24"/>
        </w:rPr>
        <w:t xml:space="preserve">completed her </w:t>
      </w:r>
      <w:proofErr w:type="gramStart"/>
      <w:r w:rsidRPr="00DA0824">
        <w:rPr>
          <w:rFonts w:ascii="Times New Roman" w:eastAsia="Times New Roman" w:hAnsi="Times New Roman" w:cs="Times New Roman"/>
          <w:color w:val="000000"/>
          <w:sz w:val="24"/>
          <w:szCs w:val="24"/>
        </w:rPr>
        <w:t>screen play</w:t>
      </w:r>
      <w:proofErr w:type="gramEnd"/>
      <w:r w:rsidRPr="00DA0824">
        <w:rPr>
          <w:rFonts w:ascii="Times New Roman" w:eastAsia="Times New Roman" w:hAnsi="Times New Roman" w:cs="Times New Roman"/>
          <w:color w:val="000000"/>
          <w:sz w:val="24"/>
          <w:szCs w:val="24"/>
        </w:rPr>
        <w:t xml:space="preserve"> in a work for hire relationship with OGS TV, and as such ceded ownership to </w:t>
      </w:r>
      <w:r w:rsidR="001B2EBB">
        <w:rPr>
          <w:rFonts w:ascii="Times New Roman" w:eastAsia="Times New Roman" w:hAnsi="Times New Roman" w:cs="Times New Roman"/>
          <w:color w:val="000000"/>
          <w:sz w:val="24"/>
          <w:szCs w:val="24"/>
        </w:rPr>
        <w:t>it</w:t>
      </w:r>
      <w:r w:rsidRPr="00DA0824">
        <w:rPr>
          <w:rFonts w:ascii="Times New Roman" w:eastAsia="Times New Roman" w:hAnsi="Times New Roman" w:cs="Times New Roman"/>
          <w:color w:val="000000"/>
          <w:sz w:val="24"/>
          <w:szCs w:val="24"/>
        </w:rPr>
        <w:t xml:space="preserve"> upon completion</w:t>
      </w:r>
      <w:r w:rsidR="00777E0F">
        <w:rPr>
          <w:rFonts w:ascii="Times New Roman" w:eastAsia="Times New Roman" w:hAnsi="Times New Roman" w:cs="Times New Roman"/>
          <w:color w:val="000000"/>
          <w:sz w:val="24"/>
          <w:szCs w:val="24"/>
        </w:rPr>
        <w:t>.  As such, she</w:t>
      </w:r>
      <w:r w:rsidRPr="00DA0824">
        <w:rPr>
          <w:rFonts w:ascii="Times New Roman" w:eastAsia="Times New Roman" w:hAnsi="Times New Roman" w:cs="Times New Roman"/>
          <w:color w:val="000000"/>
          <w:sz w:val="24"/>
          <w:szCs w:val="24"/>
        </w:rPr>
        <w:t xml:space="preserve"> no longer had the rights to the work</w:t>
      </w:r>
      <w:r w:rsidR="00777E0F">
        <w:rPr>
          <w:rFonts w:ascii="Times New Roman" w:eastAsia="Times New Roman" w:hAnsi="Times New Roman" w:cs="Times New Roman"/>
          <w:color w:val="000000"/>
          <w:sz w:val="24"/>
          <w:szCs w:val="24"/>
        </w:rPr>
        <w:t>, and committed copyright infringement by using it to create a derivative screenplay</w:t>
      </w:r>
      <w:r w:rsidRPr="00DA0824">
        <w:rPr>
          <w:rFonts w:ascii="Times New Roman" w:eastAsia="Times New Roman" w:hAnsi="Times New Roman" w:cs="Times New Roman"/>
          <w:color w:val="000000"/>
          <w:sz w:val="24"/>
          <w:szCs w:val="24"/>
        </w:rPr>
        <w:t xml:space="preserve">. </w:t>
      </w:r>
      <w:r w:rsidR="00F11824">
        <w:rPr>
          <w:rFonts w:ascii="Times New Roman" w:eastAsia="Times New Roman" w:hAnsi="Times New Roman" w:cs="Times New Roman"/>
          <w:color w:val="000000"/>
          <w:sz w:val="24"/>
          <w:szCs w:val="24"/>
        </w:rPr>
        <w:t xml:space="preserve"> A motion to dismiss must be denied if the plaintiff has asserted a claim that is plausible on its face assuming all allegations are true.  One of the allegations is that the screenplay was completed as a work for hire, which if true, would make</w:t>
      </w:r>
      <w:r w:rsidR="00BA0428">
        <w:rPr>
          <w:rFonts w:ascii="Times New Roman" w:eastAsia="Times New Roman" w:hAnsi="Times New Roman" w:cs="Times New Roman"/>
          <w:color w:val="000000"/>
          <w:sz w:val="24"/>
          <w:szCs w:val="24"/>
        </w:rPr>
        <w:t xml:space="preserve"> OGS TV the holders of the copyright, and</w:t>
      </w:r>
      <w:r w:rsidR="00F11824">
        <w:rPr>
          <w:rFonts w:ascii="Times New Roman" w:eastAsia="Times New Roman" w:hAnsi="Times New Roman" w:cs="Times New Roman"/>
          <w:color w:val="000000"/>
          <w:sz w:val="24"/>
          <w:szCs w:val="24"/>
        </w:rPr>
        <w:t xml:space="preserve"> the actions of Lime and </w:t>
      </w:r>
      <w:proofErr w:type="spellStart"/>
      <w:r w:rsidR="00F11824">
        <w:rPr>
          <w:rFonts w:ascii="Times New Roman" w:eastAsia="Times New Roman" w:hAnsi="Times New Roman" w:cs="Times New Roman"/>
          <w:color w:val="000000"/>
          <w:sz w:val="24"/>
          <w:szCs w:val="24"/>
        </w:rPr>
        <w:t>TinyTV</w:t>
      </w:r>
      <w:proofErr w:type="spellEnd"/>
      <w:r w:rsidR="00F11824">
        <w:rPr>
          <w:rFonts w:ascii="Times New Roman" w:eastAsia="Times New Roman" w:hAnsi="Times New Roman" w:cs="Times New Roman"/>
          <w:color w:val="000000"/>
          <w:sz w:val="24"/>
          <w:szCs w:val="24"/>
        </w:rPr>
        <w:t xml:space="preserve"> copyright infringement.</w:t>
      </w:r>
      <w:r w:rsidRPr="00DA0824">
        <w:rPr>
          <w:rFonts w:ascii="Times New Roman" w:eastAsia="Times New Roman" w:hAnsi="Times New Roman" w:cs="Times New Roman"/>
          <w:color w:val="000000"/>
          <w:sz w:val="24"/>
          <w:szCs w:val="24"/>
        </w:rPr>
        <w:t xml:space="preserve">  </w:t>
      </w:r>
      <w:r w:rsidR="00F11824">
        <w:rPr>
          <w:rFonts w:ascii="Times New Roman" w:eastAsia="Times New Roman" w:hAnsi="Times New Roman" w:cs="Times New Roman"/>
          <w:color w:val="000000"/>
          <w:sz w:val="24"/>
          <w:szCs w:val="24"/>
        </w:rPr>
        <w:t>As all allegations must be assumed true in acting to dismiss a case, the</w:t>
      </w:r>
      <w:r w:rsidR="00935D90" w:rsidRPr="00DA0824">
        <w:rPr>
          <w:rFonts w:ascii="Times New Roman" w:eastAsia="Times New Roman" w:hAnsi="Times New Roman" w:cs="Times New Roman"/>
          <w:color w:val="000000"/>
          <w:sz w:val="24"/>
          <w:szCs w:val="24"/>
        </w:rPr>
        <w:t xml:space="preserve"> </w:t>
      </w:r>
      <w:r w:rsidR="00F11824">
        <w:rPr>
          <w:rFonts w:ascii="Times New Roman" w:eastAsia="Times New Roman" w:hAnsi="Times New Roman" w:cs="Times New Roman"/>
          <w:color w:val="000000"/>
          <w:sz w:val="24"/>
          <w:szCs w:val="24"/>
        </w:rPr>
        <w:t>c</w:t>
      </w:r>
      <w:r w:rsidR="00935D90" w:rsidRPr="00DA0824">
        <w:rPr>
          <w:rFonts w:ascii="Times New Roman" w:eastAsia="Times New Roman" w:hAnsi="Times New Roman" w:cs="Times New Roman"/>
          <w:color w:val="000000"/>
          <w:sz w:val="24"/>
          <w:szCs w:val="24"/>
        </w:rPr>
        <w:t xml:space="preserve">ourt </w:t>
      </w:r>
      <w:r w:rsidRPr="00DA0824">
        <w:rPr>
          <w:rFonts w:ascii="Times New Roman" w:eastAsia="Times New Roman" w:hAnsi="Times New Roman" w:cs="Times New Roman"/>
          <w:color w:val="000000"/>
          <w:sz w:val="24"/>
          <w:szCs w:val="24"/>
        </w:rPr>
        <w:t>should</w:t>
      </w:r>
      <w:r w:rsidR="00777E0F">
        <w:rPr>
          <w:rFonts w:ascii="Times New Roman" w:eastAsia="Times New Roman" w:hAnsi="Times New Roman" w:cs="Times New Roman"/>
          <w:color w:val="000000"/>
          <w:sz w:val="24"/>
          <w:szCs w:val="24"/>
        </w:rPr>
        <w:t xml:space="preserve"> deny the Defendants’ motion</w:t>
      </w:r>
      <w:r w:rsidRPr="00DA0824">
        <w:rPr>
          <w:rFonts w:ascii="Times New Roman" w:eastAsia="Times New Roman" w:hAnsi="Times New Roman" w:cs="Times New Roman"/>
          <w:color w:val="000000"/>
          <w:sz w:val="24"/>
          <w:szCs w:val="24"/>
        </w:rPr>
        <w:t xml:space="preserve"> </w:t>
      </w:r>
      <w:r w:rsidR="00777E0F">
        <w:rPr>
          <w:rFonts w:ascii="Times New Roman" w:eastAsia="Times New Roman" w:hAnsi="Times New Roman" w:cs="Times New Roman"/>
          <w:color w:val="000000"/>
          <w:sz w:val="24"/>
          <w:szCs w:val="24"/>
        </w:rPr>
        <w:t>for summary judgment</w:t>
      </w:r>
      <w:r w:rsidRPr="00DA0824">
        <w:rPr>
          <w:rFonts w:ascii="Times New Roman" w:eastAsia="Times New Roman" w:hAnsi="Times New Roman" w:cs="Times New Roman"/>
          <w:color w:val="000000"/>
          <w:sz w:val="24"/>
          <w:szCs w:val="24"/>
        </w:rPr>
        <w:t>.</w:t>
      </w:r>
    </w:p>
    <w:p w14:paraId="3FCD0646" w14:textId="77777777" w:rsidR="00CB5A9C" w:rsidRPr="00DA0824" w:rsidRDefault="00CB5A9C" w:rsidP="003A31DF">
      <w:pPr>
        <w:spacing w:after="0" w:line="480" w:lineRule="auto"/>
        <w:rPr>
          <w:rFonts w:ascii="Times New Roman" w:eastAsia="Times New Roman" w:hAnsi="Times New Roman" w:cs="Times New Roman"/>
          <w:color w:val="000000"/>
          <w:sz w:val="24"/>
          <w:szCs w:val="24"/>
        </w:rPr>
      </w:pPr>
    </w:p>
    <w:p w14:paraId="377691EF" w14:textId="77777777" w:rsidR="00935D90" w:rsidRPr="00F11824" w:rsidRDefault="004551B1" w:rsidP="003A31DF">
      <w:pPr>
        <w:pStyle w:val="ListParagraph"/>
        <w:numPr>
          <w:ilvl w:val="0"/>
          <w:numId w:val="3"/>
        </w:numPr>
        <w:spacing w:after="120" w:line="240" w:lineRule="auto"/>
        <w:rPr>
          <w:rFonts w:ascii="Times New Roman" w:eastAsia="Times New Roman" w:hAnsi="Times New Roman" w:cs="Times New Roman"/>
          <w:b/>
          <w:color w:val="000000"/>
          <w:sz w:val="24"/>
          <w:szCs w:val="24"/>
        </w:rPr>
      </w:pPr>
      <w:r w:rsidRPr="00F11824">
        <w:rPr>
          <w:rFonts w:ascii="Times New Roman" w:eastAsia="Times New Roman" w:hAnsi="Times New Roman" w:cs="Times New Roman"/>
          <w:b/>
          <w:color w:val="000000"/>
          <w:sz w:val="24"/>
          <w:szCs w:val="24"/>
        </w:rPr>
        <w:t xml:space="preserve">PLAINTIFF PROPERLY ASSERTED A CLAIM THAT DEFENDANTS </w:t>
      </w:r>
      <w:r w:rsidR="00CB5A9C" w:rsidRPr="00F11824">
        <w:rPr>
          <w:rFonts w:ascii="Times New Roman" w:eastAsia="Times New Roman" w:hAnsi="Times New Roman" w:cs="Times New Roman"/>
          <w:b/>
          <w:color w:val="000000"/>
          <w:sz w:val="24"/>
          <w:szCs w:val="24"/>
        </w:rPr>
        <w:t xml:space="preserve">LIME AND TINY TV COMMITTED COPYRIGHT INFRINGEMENT BASED UPON THE UNAUTHORIZED USE OF </w:t>
      </w:r>
      <w:r w:rsidRPr="00F11824">
        <w:rPr>
          <w:rFonts w:ascii="Times New Roman" w:eastAsia="Times New Roman" w:hAnsi="Times New Roman" w:cs="Times New Roman"/>
          <w:b/>
          <w:color w:val="000000"/>
          <w:sz w:val="24"/>
          <w:szCs w:val="24"/>
        </w:rPr>
        <w:t>A</w:t>
      </w:r>
      <w:r w:rsidR="00CB5A9C" w:rsidRPr="00F11824">
        <w:rPr>
          <w:rFonts w:ascii="Times New Roman" w:eastAsia="Times New Roman" w:hAnsi="Times New Roman" w:cs="Times New Roman"/>
          <w:b/>
          <w:color w:val="000000"/>
          <w:sz w:val="24"/>
          <w:szCs w:val="24"/>
        </w:rPr>
        <w:t xml:space="preserve"> </w:t>
      </w:r>
      <w:r w:rsidRPr="00F11824">
        <w:rPr>
          <w:rFonts w:ascii="Times New Roman" w:eastAsia="Times New Roman" w:hAnsi="Times New Roman" w:cs="Times New Roman"/>
          <w:b/>
          <w:color w:val="000000"/>
          <w:sz w:val="24"/>
          <w:szCs w:val="24"/>
        </w:rPr>
        <w:t>"</w:t>
      </w:r>
      <w:r w:rsidR="00CB5A9C" w:rsidRPr="00F11824">
        <w:rPr>
          <w:rFonts w:ascii="Times New Roman" w:eastAsia="Times New Roman" w:hAnsi="Times New Roman" w:cs="Times New Roman"/>
          <w:b/>
          <w:color w:val="000000"/>
          <w:sz w:val="24"/>
          <w:szCs w:val="24"/>
        </w:rPr>
        <w:t xml:space="preserve">WORK </w:t>
      </w:r>
      <w:r w:rsidRPr="00F11824">
        <w:rPr>
          <w:rFonts w:ascii="Times New Roman" w:eastAsia="Times New Roman" w:hAnsi="Times New Roman" w:cs="Times New Roman"/>
          <w:b/>
          <w:color w:val="000000"/>
          <w:sz w:val="24"/>
          <w:szCs w:val="24"/>
        </w:rPr>
        <w:t>MADE</w:t>
      </w:r>
      <w:r w:rsidR="00CB5A9C" w:rsidRPr="00F11824">
        <w:rPr>
          <w:rFonts w:ascii="Times New Roman" w:eastAsia="Times New Roman" w:hAnsi="Times New Roman" w:cs="Times New Roman"/>
          <w:b/>
          <w:color w:val="000000"/>
          <w:sz w:val="24"/>
          <w:szCs w:val="24"/>
        </w:rPr>
        <w:t xml:space="preserve"> FOR HIRE</w:t>
      </w:r>
      <w:r w:rsidRPr="00F11824">
        <w:rPr>
          <w:rFonts w:ascii="Times New Roman" w:eastAsia="Times New Roman" w:hAnsi="Times New Roman" w:cs="Times New Roman"/>
          <w:b/>
          <w:color w:val="000000"/>
          <w:sz w:val="24"/>
          <w:szCs w:val="24"/>
        </w:rPr>
        <w:t>."</w:t>
      </w:r>
    </w:p>
    <w:p w14:paraId="5AC943E2" w14:textId="77777777" w:rsidR="00935D90" w:rsidRPr="00DA0824" w:rsidRDefault="00CB5A9C" w:rsidP="003A31DF">
      <w:pPr>
        <w:pStyle w:val="ListParagraph"/>
        <w:spacing w:after="120" w:line="240" w:lineRule="auto"/>
        <w:ind w:left="360"/>
        <w:rPr>
          <w:rFonts w:ascii="Times New Roman" w:eastAsia="Times New Roman" w:hAnsi="Times New Roman" w:cs="Times New Roman"/>
          <w:b/>
          <w:color w:val="000000"/>
          <w:sz w:val="24"/>
          <w:szCs w:val="24"/>
        </w:rPr>
      </w:pPr>
      <w:r w:rsidRPr="00DA0824">
        <w:rPr>
          <w:rFonts w:ascii="Times New Roman" w:eastAsia="Times New Roman" w:hAnsi="Times New Roman" w:cs="Times New Roman"/>
          <w:b/>
          <w:color w:val="000000"/>
          <w:sz w:val="24"/>
          <w:szCs w:val="24"/>
        </w:rPr>
        <w:t xml:space="preserve"> </w:t>
      </w:r>
    </w:p>
    <w:p w14:paraId="763E0892" w14:textId="77777777" w:rsidR="00677288" w:rsidRDefault="00677288" w:rsidP="003A31DF">
      <w:pPr>
        <w:spacing w:after="12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screenplay “Anticipatory Repudiation” written by Lime was originally commissioned as a work for hire by OGS TV, which establishes OGS TV as both the original author of the work and the copyright holder.  </w:t>
      </w:r>
      <w:r w:rsidR="007535DE">
        <w:rPr>
          <w:rFonts w:ascii="Times New Roman" w:eastAsia="Times New Roman" w:hAnsi="Times New Roman" w:cs="Times New Roman"/>
          <w:color w:val="000000"/>
          <w:sz w:val="24"/>
          <w:szCs w:val="24"/>
        </w:rPr>
        <w:t>It is not debated that Lime was an independent contractor, or that the work falls under one of the nine categories that can be considered</w:t>
      </w:r>
      <w:r w:rsidR="001B2EBB">
        <w:rPr>
          <w:rFonts w:ascii="Times New Roman" w:eastAsia="Times New Roman" w:hAnsi="Times New Roman" w:cs="Times New Roman"/>
          <w:color w:val="000000"/>
          <w:sz w:val="24"/>
          <w:szCs w:val="24"/>
        </w:rPr>
        <w:t xml:space="preserve"> to fall </w:t>
      </w:r>
      <w:r w:rsidR="001B2EBB">
        <w:rPr>
          <w:rFonts w:ascii="Times New Roman" w:eastAsia="Times New Roman" w:hAnsi="Times New Roman" w:cs="Times New Roman"/>
          <w:color w:val="000000"/>
          <w:sz w:val="24"/>
          <w:szCs w:val="24"/>
        </w:rPr>
        <w:lastRenderedPageBreak/>
        <w:t>under the</w:t>
      </w:r>
      <w:r w:rsidR="007535DE">
        <w:rPr>
          <w:rFonts w:ascii="Times New Roman" w:eastAsia="Times New Roman" w:hAnsi="Times New Roman" w:cs="Times New Roman"/>
          <w:color w:val="000000"/>
          <w:sz w:val="24"/>
          <w:szCs w:val="24"/>
        </w:rPr>
        <w:t xml:space="preserve"> work for hire</w:t>
      </w:r>
      <w:r w:rsidR="001B2EBB">
        <w:rPr>
          <w:rFonts w:ascii="Times New Roman" w:eastAsia="Times New Roman" w:hAnsi="Times New Roman" w:cs="Times New Roman"/>
          <w:color w:val="000000"/>
          <w:sz w:val="24"/>
          <w:szCs w:val="24"/>
        </w:rPr>
        <w:t xml:space="preserve"> doctrine</w:t>
      </w:r>
      <w:r w:rsidR="007535DE">
        <w:rPr>
          <w:rFonts w:ascii="Times New Roman" w:eastAsia="Times New Roman" w:hAnsi="Times New Roman" w:cs="Times New Roman"/>
          <w:color w:val="000000"/>
          <w:sz w:val="24"/>
          <w:szCs w:val="24"/>
        </w:rPr>
        <w:t xml:space="preserve">.  As such, the only issue at hand is whether the written document requirement can be fulfilled by a </w:t>
      </w:r>
      <w:r w:rsidR="001B2EBB">
        <w:rPr>
          <w:rFonts w:ascii="Times New Roman" w:eastAsia="Times New Roman" w:hAnsi="Times New Roman" w:cs="Times New Roman"/>
          <w:color w:val="000000"/>
          <w:sz w:val="24"/>
          <w:szCs w:val="24"/>
        </w:rPr>
        <w:t>contract</w:t>
      </w:r>
      <w:r w:rsidR="007535DE">
        <w:rPr>
          <w:rFonts w:ascii="Times New Roman" w:eastAsia="Times New Roman" w:hAnsi="Times New Roman" w:cs="Times New Roman"/>
          <w:color w:val="000000"/>
          <w:sz w:val="24"/>
          <w:szCs w:val="24"/>
        </w:rPr>
        <w:t xml:space="preserve"> that is created after the work is produced.  </w:t>
      </w:r>
      <w:r w:rsidR="007535DE">
        <w:rPr>
          <w:rFonts w:ascii="Times New Roman" w:hAnsi="Times New Roman" w:cs="Times New Roman"/>
          <w:snapToGrid w:val="0"/>
          <w:sz w:val="24"/>
        </w:rPr>
        <w:t xml:space="preserve">A good </w:t>
      </w:r>
      <w:r w:rsidR="001B2EBB">
        <w:rPr>
          <w:rFonts w:ascii="Times New Roman" w:hAnsi="Times New Roman" w:cs="Times New Roman"/>
          <w:snapToGrid w:val="0"/>
          <w:sz w:val="24"/>
        </w:rPr>
        <w:t>is</w:t>
      </w:r>
      <w:r w:rsidR="007535DE">
        <w:rPr>
          <w:rFonts w:ascii="Times New Roman" w:hAnsi="Times New Roman" w:cs="Times New Roman"/>
          <w:snapToGrid w:val="0"/>
          <w:sz w:val="24"/>
        </w:rPr>
        <w:t xml:space="preserve"> considered a work for hire if,</w:t>
      </w:r>
      <w:r w:rsidRPr="00677288">
        <w:rPr>
          <w:rFonts w:ascii="Times New Roman" w:hAnsi="Times New Roman" w:cs="Times New Roman"/>
          <w:snapToGrid w:val="0"/>
          <w:sz w:val="24"/>
        </w:rPr>
        <w:t xml:space="preserve"> the parties expressly agree in a written instrument signed by them that the work “shall be considered” a work made for hire. </w:t>
      </w:r>
      <w:bookmarkStart w:id="16" w:name="CITRUS_BOOKMARK1000000039"/>
      <w:proofErr w:type="gramStart"/>
      <w:r w:rsidRPr="00677288">
        <w:rPr>
          <w:rFonts w:ascii="Times New Roman" w:hAnsi="Times New Roman" w:cs="Times New Roman"/>
          <w:sz w:val="24"/>
          <w:szCs w:val="24"/>
        </w:rPr>
        <w:t>17 U.S.C. § 101(2)</w:t>
      </w:r>
      <w:bookmarkEnd w:id="16"/>
      <w:r w:rsidRPr="00677288">
        <w:rPr>
          <w:rFonts w:ascii="Times New Roman" w:hAnsi="Times New Roman" w:cs="Times New Roman"/>
          <w:sz w:val="24"/>
          <w:szCs w:val="24"/>
        </w:rPr>
        <w:t>.</w:t>
      </w:r>
      <w:proofErr w:type="gramEnd"/>
      <w:r w:rsidRPr="00677288">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  </w:t>
      </w:r>
    </w:p>
    <w:p w14:paraId="44DBB037" w14:textId="77777777" w:rsidR="00935D90" w:rsidRPr="00DA0824" w:rsidRDefault="004E71CF" w:rsidP="003A31DF">
      <w:pPr>
        <w:spacing w:after="12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Defendant’s motion to dismiss should be denied for the following reasons, which are discussed in further detail below. First, the written contract, signed by both parties after the work was completed, adequately satisfies the written document requirement found in the statute.  Second, the Court of Appeals in both the Second and Eleventh Circuits </w:t>
      </w:r>
      <w:proofErr w:type="gramStart"/>
      <w:r>
        <w:rPr>
          <w:rFonts w:ascii="Times New Roman" w:eastAsia="Times New Roman" w:hAnsi="Times New Roman" w:cs="Times New Roman"/>
          <w:color w:val="000000"/>
          <w:sz w:val="24"/>
          <w:szCs w:val="24"/>
        </w:rPr>
        <w:t>have</w:t>
      </w:r>
      <w:proofErr w:type="gramEnd"/>
      <w:r>
        <w:rPr>
          <w:rFonts w:ascii="Times New Roman" w:eastAsia="Times New Roman" w:hAnsi="Times New Roman" w:cs="Times New Roman"/>
          <w:color w:val="000000"/>
          <w:sz w:val="24"/>
          <w:szCs w:val="24"/>
        </w:rPr>
        <w:t xml:space="preserve"> issued rulings on cases that mirror the one at hand which the court should follow.  Third, following the rulings of the Second and Eleventh Courts would solidify the policy considerations surrounding this issue, </w:t>
      </w:r>
      <w:r w:rsidR="00BA0428">
        <w:rPr>
          <w:rFonts w:ascii="Times New Roman" w:eastAsia="Times New Roman" w:hAnsi="Times New Roman" w:cs="Times New Roman"/>
          <w:color w:val="000000"/>
          <w:sz w:val="24"/>
          <w:szCs w:val="24"/>
        </w:rPr>
        <w:t>Finally, the actions taken by Lime and Tiny TV constitute copyright infringement.</w:t>
      </w:r>
      <w:r>
        <w:rPr>
          <w:rFonts w:ascii="Times New Roman" w:eastAsia="Times New Roman" w:hAnsi="Times New Roman" w:cs="Times New Roman"/>
          <w:color w:val="000000"/>
          <w:sz w:val="24"/>
          <w:szCs w:val="24"/>
        </w:rPr>
        <w:t xml:space="preserve">  As such, the Plaintiff’s claim of copyright infringement is feasible and must be ruled upon by the court.  Defendants’ motion to dismiss should be denied. </w:t>
      </w:r>
    </w:p>
    <w:p w14:paraId="3B040C77" w14:textId="77777777" w:rsidR="00CB5A9C" w:rsidRPr="00DA0824" w:rsidRDefault="00CB5A9C" w:rsidP="003A31DF">
      <w:pPr>
        <w:pStyle w:val="ListParagraph"/>
        <w:spacing w:after="120" w:line="480" w:lineRule="auto"/>
        <w:ind w:left="1080"/>
        <w:rPr>
          <w:rFonts w:ascii="Times New Roman" w:eastAsia="Times New Roman" w:hAnsi="Times New Roman" w:cs="Times New Roman"/>
          <w:color w:val="000000"/>
          <w:sz w:val="24"/>
          <w:szCs w:val="24"/>
        </w:rPr>
      </w:pPr>
    </w:p>
    <w:p w14:paraId="255F0CF2" w14:textId="77777777" w:rsidR="00997AA7" w:rsidRPr="00EA353E" w:rsidRDefault="00997AA7" w:rsidP="003A31DF">
      <w:pPr>
        <w:pStyle w:val="ListParagraph"/>
        <w:numPr>
          <w:ilvl w:val="1"/>
          <w:numId w:val="1"/>
        </w:numPr>
        <w:spacing w:after="0" w:line="240" w:lineRule="auto"/>
        <w:rPr>
          <w:rFonts w:ascii="Times New Roman" w:eastAsia="Times New Roman" w:hAnsi="Times New Roman" w:cs="Times New Roman"/>
          <w:b/>
          <w:color w:val="000000"/>
          <w:sz w:val="24"/>
          <w:szCs w:val="24"/>
        </w:rPr>
      </w:pPr>
      <w:r w:rsidRPr="00DA0824">
        <w:rPr>
          <w:rFonts w:ascii="Times New Roman" w:eastAsia="Times New Roman" w:hAnsi="Times New Roman" w:cs="Times New Roman"/>
          <w:b/>
          <w:color w:val="000000"/>
          <w:sz w:val="24"/>
          <w:szCs w:val="24"/>
        </w:rPr>
        <w:t xml:space="preserve">The </w:t>
      </w:r>
      <w:r w:rsidR="00EA353E">
        <w:rPr>
          <w:rFonts w:ascii="Times New Roman" w:eastAsia="Times New Roman" w:hAnsi="Times New Roman" w:cs="Times New Roman"/>
          <w:b/>
          <w:color w:val="000000"/>
          <w:sz w:val="24"/>
          <w:szCs w:val="24"/>
        </w:rPr>
        <w:t xml:space="preserve">Plain Language of The </w:t>
      </w:r>
      <w:r w:rsidRPr="00DA0824">
        <w:rPr>
          <w:rFonts w:ascii="Times New Roman" w:eastAsia="Times New Roman" w:hAnsi="Times New Roman" w:cs="Times New Roman"/>
          <w:b/>
          <w:color w:val="000000"/>
          <w:sz w:val="24"/>
          <w:szCs w:val="24"/>
        </w:rPr>
        <w:t>Copyright Act of 1976</w:t>
      </w:r>
      <w:r w:rsidR="004E5614" w:rsidRPr="00DA0824">
        <w:rPr>
          <w:rFonts w:ascii="Times New Roman" w:eastAsia="Times New Roman" w:hAnsi="Times New Roman" w:cs="Times New Roman"/>
          <w:b/>
          <w:color w:val="000000"/>
          <w:sz w:val="24"/>
          <w:szCs w:val="24"/>
        </w:rPr>
        <w:t xml:space="preserve"> </w:t>
      </w:r>
      <w:r w:rsidR="004E71CF">
        <w:rPr>
          <w:rFonts w:ascii="Times New Roman" w:eastAsia="Times New Roman" w:hAnsi="Times New Roman" w:cs="Times New Roman"/>
          <w:b/>
          <w:color w:val="000000"/>
          <w:sz w:val="24"/>
          <w:szCs w:val="24"/>
        </w:rPr>
        <w:t>Does Not Require a Written Document to be Created Be</w:t>
      </w:r>
      <w:r w:rsidR="00DA0824" w:rsidRPr="00DA0824">
        <w:rPr>
          <w:rFonts w:ascii="Times New Roman" w:eastAsia="Times New Roman" w:hAnsi="Times New Roman" w:cs="Times New Roman"/>
          <w:b/>
          <w:color w:val="000000"/>
          <w:sz w:val="24"/>
          <w:szCs w:val="24"/>
        </w:rPr>
        <w:t xml:space="preserve">fore the </w:t>
      </w:r>
      <w:r w:rsidR="007535DE">
        <w:rPr>
          <w:rFonts w:ascii="Times New Roman" w:eastAsia="Times New Roman" w:hAnsi="Times New Roman" w:cs="Times New Roman"/>
          <w:b/>
          <w:color w:val="000000"/>
          <w:sz w:val="24"/>
          <w:szCs w:val="24"/>
        </w:rPr>
        <w:t xml:space="preserve">Work is </w:t>
      </w:r>
      <w:proofErr w:type="gramStart"/>
      <w:r w:rsidR="007535DE">
        <w:rPr>
          <w:rFonts w:ascii="Times New Roman" w:eastAsia="Times New Roman" w:hAnsi="Times New Roman" w:cs="Times New Roman"/>
          <w:b/>
          <w:color w:val="000000"/>
          <w:sz w:val="24"/>
          <w:szCs w:val="24"/>
        </w:rPr>
        <w:t>Performed</w:t>
      </w:r>
      <w:proofErr w:type="gramEnd"/>
      <w:r w:rsidRPr="00DA0824">
        <w:rPr>
          <w:rFonts w:ascii="Times New Roman" w:eastAsia="Times New Roman" w:hAnsi="Times New Roman" w:cs="Times New Roman"/>
          <w:b/>
          <w:color w:val="000000"/>
          <w:sz w:val="24"/>
          <w:szCs w:val="24"/>
        </w:rPr>
        <w:t>.</w:t>
      </w:r>
      <w:r w:rsidRPr="00DA0824">
        <w:rPr>
          <w:rFonts w:ascii="Times New Roman" w:eastAsia="Times New Roman" w:hAnsi="Times New Roman" w:cs="Times New Roman"/>
          <w:color w:val="000000"/>
          <w:sz w:val="24"/>
          <w:szCs w:val="24"/>
        </w:rPr>
        <w:t xml:space="preserve">  </w:t>
      </w:r>
    </w:p>
    <w:p w14:paraId="4A805FFA" w14:textId="77777777" w:rsidR="00EA353E" w:rsidRPr="00EA353E" w:rsidRDefault="00EA353E" w:rsidP="003A31DF">
      <w:pPr>
        <w:pStyle w:val="ListParagraph"/>
        <w:spacing w:after="0" w:line="240" w:lineRule="auto"/>
        <w:ind w:left="1080"/>
        <w:rPr>
          <w:rFonts w:ascii="Times New Roman" w:eastAsia="Times New Roman" w:hAnsi="Times New Roman" w:cs="Times New Roman"/>
          <w:b/>
          <w:color w:val="000000"/>
          <w:sz w:val="24"/>
          <w:szCs w:val="24"/>
        </w:rPr>
      </w:pPr>
    </w:p>
    <w:p w14:paraId="39EEDF46" w14:textId="77777777" w:rsidR="00EA353E" w:rsidRPr="00EA353E" w:rsidRDefault="00EA353E" w:rsidP="003A31DF">
      <w:pPr>
        <w:spacing w:after="0" w:line="480" w:lineRule="auto"/>
        <w:ind w:firstLine="720"/>
        <w:rPr>
          <w:rFonts w:ascii="Times New Roman" w:eastAsia="Times New Roman" w:hAnsi="Times New Roman" w:cs="Times New Roman"/>
          <w:b/>
          <w:color w:val="000000"/>
          <w:sz w:val="24"/>
          <w:szCs w:val="24"/>
        </w:rPr>
      </w:pPr>
      <w:r>
        <w:rPr>
          <w:rFonts w:ascii="Times New Roman" w:hAnsi="Times New Roman" w:cs="Times New Roman"/>
          <w:sz w:val="24"/>
          <w:szCs w:val="24"/>
        </w:rPr>
        <w:t xml:space="preserve">The Copyright Act of 1976 never mandates that the written document, deeming the relationship be work for hire, be created before the work is completed.  </w:t>
      </w:r>
      <w:r w:rsidRPr="00DA0824">
        <w:rPr>
          <w:rFonts w:ascii="Times New Roman" w:hAnsi="Times New Roman" w:cs="Times New Roman"/>
          <w:sz w:val="24"/>
          <w:szCs w:val="24"/>
        </w:rPr>
        <w:t>The</w:t>
      </w:r>
      <w:r>
        <w:rPr>
          <w:rFonts w:ascii="Times New Roman" w:hAnsi="Times New Roman" w:cs="Times New Roman"/>
          <w:sz w:val="24"/>
          <w:szCs w:val="24"/>
        </w:rPr>
        <w:t xml:space="preserve"> statute</w:t>
      </w:r>
      <w:r w:rsidRPr="00DA0824">
        <w:rPr>
          <w:rFonts w:ascii="Times New Roman" w:hAnsi="Times New Roman" w:cs="Times New Roman"/>
          <w:sz w:val="24"/>
          <w:szCs w:val="24"/>
        </w:rPr>
        <w:t xml:space="preserve"> states that a work for hire can only be described as such, “</w:t>
      </w:r>
      <w:proofErr w:type="gramStart"/>
      <w:r w:rsidRPr="00DA0824">
        <w:rPr>
          <w:rFonts w:ascii="Times New Roman" w:eastAsia="Times New Roman" w:hAnsi="Times New Roman" w:cs="Times New Roman"/>
          <w:color w:val="000000"/>
          <w:sz w:val="24"/>
          <w:szCs w:val="24"/>
        </w:rPr>
        <w:t>if</w:t>
      </w:r>
      <w:proofErr w:type="gramEnd"/>
      <w:r w:rsidRPr="00DA0824">
        <w:rPr>
          <w:rFonts w:ascii="Times New Roman" w:eastAsia="Times New Roman" w:hAnsi="Times New Roman" w:cs="Times New Roman"/>
          <w:color w:val="000000"/>
          <w:sz w:val="24"/>
          <w:szCs w:val="24"/>
        </w:rPr>
        <w:t xml:space="preserve"> the parties expressly agree in a written instrument signed by them that the work shall be considered a work made for hire.”  </w:t>
      </w:r>
      <w:bookmarkStart w:id="17" w:name="CITRUS_BOOKMARK1000000036"/>
      <w:proofErr w:type="gramStart"/>
      <w:r w:rsidRPr="00DA0824">
        <w:rPr>
          <w:rFonts w:ascii="Times New Roman" w:hAnsi="Times New Roman" w:cs="Times New Roman"/>
          <w:sz w:val="24"/>
          <w:szCs w:val="24"/>
        </w:rPr>
        <w:t>17 U.S.C.A. § 101</w:t>
      </w:r>
      <w:bookmarkEnd w:id="17"/>
      <w:r w:rsidRPr="00DA0824">
        <w:rPr>
          <w:rFonts w:ascii="Times New Roman" w:hAnsi="Times New Roman" w:cs="Times New Roman"/>
          <w:sz w:val="24"/>
          <w:szCs w:val="24"/>
        </w:rPr>
        <w:t>.</w:t>
      </w:r>
      <w:proofErr w:type="gramEnd"/>
      <w:r w:rsidRPr="00DA0824">
        <w:rPr>
          <w:rFonts w:ascii="Times New Roman" w:hAnsi="Times New Roman" w:cs="Times New Roman"/>
          <w:sz w:val="24"/>
          <w:szCs w:val="24"/>
        </w:rPr>
        <w:t xml:space="preserve">  </w:t>
      </w:r>
      <w:r>
        <w:rPr>
          <w:rFonts w:ascii="Times New Roman" w:hAnsi="Times New Roman" w:cs="Times New Roman"/>
          <w:sz w:val="24"/>
          <w:szCs w:val="24"/>
        </w:rPr>
        <w:t>The</w:t>
      </w:r>
      <w:r w:rsidRPr="00DA0824">
        <w:rPr>
          <w:rFonts w:ascii="Times New Roman" w:hAnsi="Times New Roman" w:cs="Times New Roman"/>
          <w:sz w:val="24"/>
          <w:szCs w:val="24"/>
        </w:rPr>
        <w:t xml:space="preserve"> statute does not delve into the issue of when the document must be written in relation to the work being created</w:t>
      </w:r>
      <w:r>
        <w:rPr>
          <w:rFonts w:ascii="Times New Roman" w:hAnsi="Times New Roman" w:cs="Times New Roman"/>
          <w:sz w:val="24"/>
          <w:szCs w:val="24"/>
        </w:rPr>
        <w:t xml:space="preserve"> </w:t>
      </w:r>
      <w:r w:rsidR="001B2EBB" w:rsidRPr="00DA0824">
        <w:rPr>
          <w:rFonts w:ascii="Times New Roman" w:hAnsi="Times New Roman" w:cs="Times New Roman"/>
          <w:sz w:val="24"/>
          <w:szCs w:val="24"/>
        </w:rPr>
        <w:t>and</w:t>
      </w:r>
      <w:r w:rsidR="001B2EBB">
        <w:rPr>
          <w:rFonts w:ascii="Times New Roman" w:hAnsi="Times New Roman" w:cs="Times New Roman"/>
          <w:sz w:val="24"/>
          <w:szCs w:val="24"/>
        </w:rPr>
        <w:t xml:space="preserve"> as such leaves</w:t>
      </w:r>
      <w:r w:rsidRPr="00DA0824">
        <w:rPr>
          <w:rFonts w:ascii="Times New Roman" w:hAnsi="Times New Roman" w:cs="Times New Roman"/>
          <w:sz w:val="24"/>
          <w:szCs w:val="24"/>
        </w:rPr>
        <w:t xml:space="preserve"> room for interpretation by the courts.  There are several possible reasons as to why Congress did not address this particular issue in the statute.  It could be interpreted to mean Congress did not believe it was a relevant issue, or that they felt </w:t>
      </w:r>
      <w:r w:rsidRPr="00DA0824">
        <w:rPr>
          <w:rFonts w:ascii="Times New Roman" w:hAnsi="Times New Roman" w:cs="Times New Roman"/>
          <w:sz w:val="24"/>
          <w:szCs w:val="24"/>
        </w:rPr>
        <w:lastRenderedPageBreak/>
        <w:t xml:space="preserve">they did not need to comment on this issue to fulfill their objective.  </w:t>
      </w:r>
      <w:r>
        <w:rPr>
          <w:rFonts w:ascii="Times New Roman" w:hAnsi="Times New Roman" w:cs="Times New Roman"/>
          <w:sz w:val="24"/>
          <w:szCs w:val="24"/>
        </w:rPr>
        <w:t>Whatever the reason for Congress’s silence on the issue, it cannot be concluded that the plain language of the statute require the creation of the written document take place before the work is completed</w:t>
      </w:r>
    </w:p>
    <w:p w14:paraId="1BF85806" w14:textId="77777777" w:rsidR="0052315A" w:rsidRPr="001B2EBB" w:rsidRDefault="00EA353E" w:rsidP="001B2EBB">
      <w:pPr>
        <w:pStyle w:val="ListParagraph"/>
        <w:numPr>
          <w:ilvl w:val="1"/>
          <w:numId w:val="1"/>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The Court Should Follow the Decisions of the Second and Eleventh Circuits’ Court of Appeals, Which Allows for a Written Contract, Created After the Work is Completed to fulfill the Written Document Requirement</w:t>
      </w:r>
    </w:p>
    <w:p w14:paraId="21559E9F" w14:textId="77777777" w:rsidR="001B2EBB" w:rsidRDefault="001B2EBB" w:rsidP="003A31DF">
      <w:pPr>
        <w:spacing w:line="480" w:lineRule="auto"/>
        <w:ind w:firstLine="720"/>
        <w:rPr>
          <w:rFonts w:ascii="Times New Roman" w:hAnsi="Times New Roman" w:cs="Times New Roman"/>
          <w:sz w:val="24"/>
          <w:szCs w:val="24"/>
        </w:rPr>
      </w:pPr>
    </w:p>
    <w:p w14:paraId="6CB2F554" w14:textId="77777777" w:rsidR="0052315A" w:rsidRDefault="0052315A" w:rsidP="003A31DF">
      <w:pPr>
        <w:spacing w:line="480" w:lineRule="auto"/>
        <w:ind w:firstLine="720"/>
        <w:rPr>
          <w:rFonts w:ascii="Times New Roman" w:eastAsia="Times New Roman" w:hAnsi="Times New Roman" w:cs="Times New Roman"/>
          <w:sz w:val="24"/>
          <w:szCs w:val="24"/>
        </w:rPr>
      </w:pPr>
      <w:r>
        <w:rPr>
          <w:rFonts w:ascii="Times New Roman" w:hAnsi="Times New Roman" w:cs="Times New Roman"/>
          <w:sz w:val="24"/>
          <w:szCs w:val="24"/>
        </w:rPr>
        <w:t xml:space="preserve">As there is no binding precedent in the District of Moot, the court should look to the decisions of the Second and Eleventh Circuit Courts of Appeal. </w:t>
      </w:r>
      <w:r w:rsidRPr="00EA353E">
        <w:rPr>
          <w:rFonts w:ascii="Times New Roman" w:hAnsi="Times New Roman" w:cs="Times New Roman"/>
          <w:sz w:val="24"/>
          <w:szCs w:val="24"/>
        </w:rPr>
        <w:t xml:space="preserve">In the case </w:t>
      </w:r>
      <w:r w:rsidRPr="00EA353E">
        <w:rPr>
          <w:rFonts w:ascii="Times New Roman" w:hAnsi="Times New Roman" w:cs="Times New Roman"/>
          <w:i/>
          <w:sz w:val="24"/>
          <w:szCs w:val="24"/>
        </w:rPr>
        <w:t xml:space="preserve">Arthur </w:t>
      </w:r>
      <w:proofErr w:type="spellStart"/>
      <w:r w:rsidRPr="00EA353E">
        <w:rPr>
          <w:rFonts w:ascii="Times New Roman" w:hAnsi="Times New Roman" w:cs="Times New Roman"/>
          <w:i/>
          <w:sz w:val="24"/>
          <w:szCs w:val="24"/>
        </w:rPr>
        <w:t>Rutenberg</w:t>
      </w:r>
      <w:proofErr w:type="spellEnd"/>
      <w:r w:rsidRPr="00EA353E">
        <w:rPr>
          <w:rFonts w:ascii="Times New Roman" w:hAnsi="Times New Roman" w:cs="Times New Roman"/>
          <w:i/>
          <w:sz w:val="24"/>
          <w:szCs w:val="24"/>
        </w:rPr>
        <w:t xml:space="preserve"> Homes, Inc. v. Drew Homes, Inc.,</w:t>
      </w:r>
      <w:r w:rsidRPr="00EA353E">
        <w:rPr>
          <w:rFonts w:ascii="Times New Roman" w:hAnsi="Times New Roman" w:cs="Times New Roman"/>
          <w:sz w:val="24"/>
          <w:szCs w:val="24"/>
        </w:rPr>
        <w:t xml:space="preserve"> “the court states that </w:t>
      </w:r>
      <w:r w:rsidRPr="00EA353E">
        <w:rPr>
          <w:rFonts w:ascii="Times New Roman" w:eastAsia="Times New Roman" w:hAnsi="Times New Roman" w:cs="Times New Roman"/>
          <w:sz w:val="24"/>
          <w:szCs w:val="24"/>
        </w:rPr>
        <w:t xml:space="preserve">the requirements of </w:t>
      </w:r>
      <w:bookmarkStart w:id="18" w:name="CITRUS_BOOKMARK37"/>
      <w:r w:rsidRPr="00EA353E">
        <w:rPr>
          <w:rFonts w:ascii="Times New Roman" w:eastAsia="Times New Roman" w:hAnsi="Times New Roman" w:cs="Times New Roman"/>
          <w:sz w:val="24"/>
          <w:szCs w:val="24"/>
        </w:rPr>
        <w:t>17 U.S.C. § 204(a) (2006)</w:t>
      </w:r>
      <w:bookmarkEnd w:id="18"/>
      <w:r w:rsidRPr="00EA353E">
        <w:rPr>
          <w:rFonts w:ascii="Times New Roman" w:eastAsia="Times New Roman" w:hAnsi="Times New Roman" w:cs="Times New Roman"/>
          <w:sz w:val="24"/>
          <w:szCs w:val="24"/>
        </w:rPr>
        <w:t xml:space="preserve"> can be satisfied by an oral assignment later ratified or confirmed by a written memorandum of the transfer.” </w:t>
      </w:r>
      <w:bookmarkStart w:id="19" w:name="CITRUS_BOOKMARK1000000040"/>
      <w:proofErr w:type="gramStart"/>
      <w:r w:rsidRPr="00EA353E">
        <w:rPr>
          <w:rFonts w:ascii="Times New Roman" w:eastAsia="Times New Roman" w:hAnsi="Times New Roman" w:cs="Times New Roman"/>
          <w:sz w:val="24"/>
          <w:szCs w:val="24"/>
        </w:rPr>
        <w:t>29 F.3d 1529, 1532 (11th Cir. 1994)</w:t>
      </w:r>
      <w:bookmarkEnd w:id="19"/>
      <w:r w:rsidRPr="00EA353E">
        <w:rPr>
          <w:rFonts w:ascii="Times New Roman" w:eastAsia="Times New Roman" w:hAnsi="Times New Roman" w:cs="Times New Roman"/>
          <w:b/>
          <w:sz w:val="24"/>
          <w:szCs w:val="24"/>
        </w:rPr>
        <w:t>.</w:t>
      </w:r>
      <w:proofErr w:type="gramEnd"/>
      <w:r w:rsidRPr="00EA353E">
        <w:rPr>
          <w:rFonts w:ascii="Times New Roman" w:eastAsia="Times New Roman" w:hAnsi="Times New Roman" w:cs="Times New Roman"/>
          <w:sz w:val="24"/>
          <w:szCs w:val="24"/>
        </w:rPr>
        <w:t xml:space="preserve">  The court interpreted the written document requirement as being in place to prevent fraudulent claims as to ownership, as well as ensuring predictability and clarity in intellectual property claims. This sentiment was echoed</w:t>
      </w:r>
      <w:r w:rsidR="001B2EBB">
        <w:rPr>
          <w:rFonts w:ascii="Times New Roman" w:eastAsia="Times New Roman" w:hAnsi="Times New Roman" w:cs="Times New Roman"/>
          <w:sz w:val="24"/>
          <w:szCs w:val="24"/>
        </w:rPr>
        <w:t xml:space="preserve"> later</w:t>
      </w:r>
      <w:r w:rsidRPr="00EA353E">
        <w:rPr>
          <w:rFonts w:ascii="Times New Roman" w:eastAsia="Times New Roman" w:hAnsi="Times New Roman" w:cs="Times New Roman"/>
          <w:sz w:val="24"/>
          <w:szCs w:val="24"/>
        </w:rPr>
        <w:t xml:space="preserve"> in </w:t>
      </w:r>
      <w:r w:rsidRPr="00EA353E">
        <w:rPr>
          <w:rFonts w:ascii="Times New Roman" w:eastAsia="Times New Roman" w:hAnsi="Times New Roman" w:cs="Times New Roman"/>
          <w:i/>
          <w:sz w:val="24"/>
          <w:szCs w:val="24"/>
        </w:rPr>
        <w:t xml:space="preserve">Playboy Enterprises, Inc. v </w:t>
      </w:r>
      <w:proofErr w:type="gramStart"/>
      <w:r w:rsidRPr="00EA353E">
        <w:rPr>
          <w:rFonts w:ascii="Times New Roman" w:eastAsia="Times New Roman" w:hAnsi="Times New Roman" w:cs="Times New Roman"/>
          <w:i/>
          <w:sz w:val="24"/>
          <w:szCs w:val="24"/>
        </w:rPr>
        <w:t>Dumas</w:t>
      </w:r>
      <w:r w:rsidRPr="00EA353E">
        <w:rPr>
          <w:rFonts w:ascii="Times New Roman" w:eastAsia="Times New Roman" w:hAnsi="Times New Roman" w:cs="Times New Roman"/>
          <w:sz w:val="24"/>
          <w:szCs w:val="24"/>
        </w:rPr>
        <w:t xml:space="preserve"> which</w:t>
      </w:r>
      <w:proofErr w:type="gramEnd"/>
      <w:r w:rsidRPr="00EA353E">
        <w:rPr>
          <w:rFonts w:ascii="Times New Roman" w:eastAsia="Times New Roman" w:hAnsi="Times New Roman" w:cs="Times New Roman"/>
          <w:sz w:val="24"/>
          <w:szCs w:val="24"/>
        </w:rPr>
        <w:t xml:space="preserve"> argues that the pre-creation writing has no basis in the statute, and that the requirement merely exists to “</w:t>
      </w:r>
      <w:r w:rsidRPr="00EA353E">
        <w:rPr>
          <w:rFonts w:ascii="Times New Roman" w:hAnsi="Times New Roman" w:cs="Times New Roman"/>
          <w:sz w:val="24"/>
        </w:rPr>
        <w:t>to make the ownership of intellectual property rights clear and definite.”</w:t>
      </w:r>
      <w:bookmarkStart w:id="20" w:name="CITRUS_BOOKMARK1000000041"/>
      <w:proofErr w:type="gramStart"/>
      <w:r w:rsidRPr="00EA353E">
        <w:rPr>
          <w:rFonts w:ascii="Times New Roman" w:hAnsi="Times New Roman" w:cs="Times New Roman"/>
          <w:sz w:val="24"/>
        </w:rPr>
        <w:t>53 F.3d 549, 559 (2d Cir. 1995)</w:t>
      </w:r>
      <w:bookmarkEnd w:id="20"/>
      <w:r>
        <w:rPr>
          <w:rFonts w:ascii="Times New Roman" w:hAnsi="Times New Roman" w:cs="Times New Roman"/>
          <w:sz w:val="24"/>
        </w:rPr>
        <w:t>.</w:t>
      </w:r>
      <w:proofErr w:type="gramEnd"/>
      <w:r w:rsidRPr="00EA353E">
        <w:rPr>
          <w:rFonts w:ascii="Times New Roman" w:eastAsia="Times New Roman" w:hAnsi="Times New Roman" w:cs="Times New Roman"/>
          <w:sz w:val="24"/>
          <w:szCs w:val="24"/>
        </w:rPr>
        <w:t xml:space="preserve">  Another court mentions that this interpretation “codifies the judge made rule under the 1909 Act that if a prior oral grant is subsequently confirmed in writing, this will validate the grant </w:t>
      </w:r>
      <w:proofErr w:type="spellStart"/>
      <w:r w:rsidRPr="00EA353E">
        <w:rPr>
          <w:rFonts w:ascii="Times New Roman" w:eastAsia="Times New Roman" w:hAnsi="Times New Roman" w:cs="Times New Roman"/>
          <w:i/>
          <w:iCs/>
          <w:sz w:val="24"/>
          <w:szCs w:val="24"/>
        </w:rPr>
        <w:t>ab</w:t>
      </w:r>
      <w:proofErr w:type="spellEnd"/>
      <w:r w:rsidRPr="00EA353E">
        <w:rPr>
          <w:rFonts w:ascii="Times New Roman" w:eastAsia="Times New Roman" w:hAnsi="Times New Roman" w:cs="Times New Roman"/>
          <w:i/>
          <w:iCs/>
          <w:sz w:val="24"/>
          <w:szCs w:val="24"/>
        </w:rPr>
        <w:t xml:space="preserve"> initio</w:t>
      </w:r>
      <w:r w:rsidRPr="00EA353E">
        <w:rPr>
          <w:rFonts w:ascii="Times New Roman" w:eastAsia="Times New Roman" w:hAnsi="Times New Roman" w:cs="Times New Roman"/>
          <w:sz w:val="24"/>
          <w:szCs w:val="24"/>
        </w:rPr>
        <w:t xml:space="preserve"> as of the time of the oral grant. </w:t>
      </w:r>
      <w:bookmarkStart w:id="21" w:name="CITRUS_BOOKMARK38"/>
      <w:proofErr w:type="gramStart"/>
      <w:r w:rsidRPr="006721DE">
        <w:rPr>
          <w:rFonts w:ascii="Times New Roman" w:eastAsia="Times New Roman" w:hAnsi="Times New Roman" w:cs="Times New Roman"/>
          <w:i/>
          <w:sz w:val="24"/>
          <w:szCs w:val="24"/>
        </w:rPr>
        <w:t>Great S. Homes, Inc. v. Johnson &amp; Thompson Realtors</w:t>
      </w:r>
      <w:r w:rsidRPr="00EA353E">
        <w:rPr>
          <w:rFonts w:ascii="Times New Roman" w:eastAsia="Times New Roman" w:hAnsi="Times New Roman" w:cs="Times New Roman"/>
          <w:sz w:val="24"/>
          <w:szCs w:val="24"/>
        </w:rPr>
        <w:t>, 797 F. Supp. 609, 612 (M.D. Tenn. 1992)</w:t>
      </w:r>
      <w:bookmarkEnd w:id="21"/>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
    <w:p w14:paraId="287A80DE" w14:textId="77777777" w:rsidR="0052315A" w:rsidRDefault="0052315A" w:rsidP="003A31DF">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case, the written agreement did come into existence after the creation of the screenplay, but was serving merely as a confirmation of the oral agreement that Nelson and Lime had struck before Lime began work on the screenplay.  By looking at the above cases of </w:t>
      </w:r>
      <w:proofErr w:type="spellStart"/>
      <w:r>
        <w:rPr>
          <w:rFonts w:ascii="Times New Roman" w:eastAsia="Times New Roman" w:hAnsi="Times New Roman" w:cs="Times New Roman"/>
          <w:i/>
          <w:sz w:val="24"/>
          <w:szCs w:val="24"/>
        </w:rPr>
        <w:lastRenderedPageBreak/>
        <w:t>Rutenberg</w:t>
      </w:r>
      <w:proofErr w:type="spellEnd"/>
      <w:r>
        <w:rPr>
          <w:rFonts w:ascii="Times New Roman" w:eastAsia="Times New Roman" w:hAnsi="Times New Roman" w:cs="Times New Roman"/>
          <w:i/>
          <w:sz w:val="24"/>
          <w:szCs w:val="24"/>
        </w:rPr>
        <w:t xml:space="preserve"> Homes </w:t>
      </w:r>
      <w:r>
        <w:rPr>
          <w:rFonts w:ascii="Times New Roman" w:eastAsia="Times New Roman" w:hAnsi="Times New Roman" w:cs="Times New Roman"/>
          <w:sz w:val="24"/>
          <w:szCs w:val="24"/>
        </w:rPr>
        <w:t xml:space="preserve">and </w:t>
      </w:r>
      <w:r w:rsidRPr="002F11D3">
        <w:rPr>
          <w:rFonts w:ascii="Times New Roman" w:eastAsia="Times New Roman" w:hAnsi="Times New Roman" w:cs="Times New Roman"/>
          <w:i/>
          <w:sz w:val="24"/>
          <w:szCs w:val="24"/>
        </w:rPr>
        <w:t>Playboy</w:t>
      </w:r>
      <w:r>
        <w:rPr>
          <w:rFonts w:ascii="Times New Roman" w:eastAsia="Times New Roman" w:hAnsi="Times New Roman" w:cs="Times New Roman"/>
          <w:sz w:val="24"/>
          <w:szCs w:val="24"/>
        </w:rPr>
        <w:t xml:space="preserve">, and adopting the Second and Eleventh Circuit Court of Appeals’ interpretations, then it is obvious that the contract signed by both parties would fulfill the written document requirement. This interpretation allows for oral agreements to be confirmed with a written document even after the work is completed.  This document would confirm that both parties had been operating under the belief that the work was to be for hire.  </w:t>
      </w:r>
    </w:p>
    <w:p w14:paraId="7EAE871B" w14:textId="77777777" w:rsidR="0052315A" w:rsidRPr="00DA0824" w:rsidRDefault="0052315A" w:rsidP="003A31DF">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Courts in other Circuits however, have not always interpreted this statute in the same manner.  In </w:t>
      </w:r>
      <w:r w:rsidRPr="0076075B">
        <w:rPr>
          <w:rFonts w:ascii="Times New Roman" w:hAnsi="Times New Roman" w:cs="Times New Roman"/>
          <w:i/>
          <w:sz w:val="24"/>
        </w:rPr>
        <w:t xml:space="preserve">Schiller &amp; Schmidt, Inc. v. </w:t>
      </w:r>
      <w:proofErr w:type="spellStart"/>
      <w:r w:rsidRPr="0076075B">
        <w:rPr>
          <w:rFonts w:ascii="Times New Roman" w:hAnsi="Times New Roman" w:cs="Times New Roman"/>
          <w:i/>
          <w:sz w:val="24"/>
        </w:rPr>
        <w:t>Nordisco</w:t>
      </w:r>
      <w:proofErr w:type="spellEnd"/>
      <w:r w:rsidRPr="0076075B">
        <w:rPr>
          <w:rFonts w:ascii="Times New Roman" w:hAnsi="Times New Roman" w:cs="Times New Roman"/>
          <w:i/>
          <w:sz w:val="24"/>
        </w:rPr>
        <w:t xml:space="preserve"> Corp</w:t>
      </w:r>
      <w:r w:rsidR="001B2EBB">
        <w:rPr>
          <w:rFonts w:ascii="Times New Roman" w:hAnsi="Times New Roman" w:cs="Times New Roman"/>
          <w:i/>
          <w:sz w:val="24"/>
        </w:rPr>
        <w:t xml:space="preserve">., </w:t>
      </w:r>
      <w:r>
        <w:rPr>
          <w:rFonts w:ascii="Times New Roman" w:hAnsi="Times New Roman" w:cs="Times New Roman"/>
          <w:sz w:val="24"/>
        </w:rPr>
        <w:t>the court ruled that the written agreement must come into existence before the creation of the work.</w:t>
      </w:r>
      <w:r w:rsidR="001B2EBB" w:rsidRPr="0076075B">
        <w:rPr>
          <w:rFonts w:ascii="Times New Roman" w:hAnsi="Times New Roman" w:cs="Times New Roman"/>
          <w:sz w:val="24"/>
        </w:rPr>
        <w:t xml:space="preserve"> </w:t>
      </w:r>
      <w:bookmarkStart w:id="22" w:name="CITRUS_BOOKMARK1000000042"/>
      <w:proofErr w:type="gramStart"/>
      <w:r w:rsidR="001B2EBB" w:rsidRPr="0076075B">
        <w:rPr>
          <w:rFonts w:ascii="Times New Roman" w:hAnsi="Times New Roman" w:cs="Times New Roman"/>
          <w:sz w:val="24"/>
        </w:rPr>
        <w:t>969 F.2d 410, 412 (7th Cir. 1992)</w:t>
      </w:r>
      <w:bookmarkEnd w:id="22"/>
      <w:r w:rsidR="001B2EBB">
        <w:rPr>
          <w:rFonts w:ascii="Times New Roman" w:hAnsi="Times New Roman" w:cs="Times New Roman"/>
          <w:sz w:val="24"/>
        </w:rPr>
        <w:t>.</w:t>
      </w:r>
      <w:proofErr w:type="gramEnd"/>
      <w:r w:rsidR="001B2EBB">
        <w:rPr>
          <w:rFonts w:ascii="Times New Roman" w:hAnsi="Times New Roman" w:cs="Times New Roman"/>
          <w:sz w:val="24"/>
        </w:rPr>
        <w:t xml:space="preserve"> </w:t>
      </w:r>
      <w:r>
        <w:rPr>
          <w:rFonts w:ascii="Times New Roman" w:hAnsi="Times New Roman" w:cs="Times New Roman"/>
          <w:sz w:val="24"/>
        </w:rPr>
        <w:t xml:space="preserve"> The court’s reasoning was that only a written document that predated the work would be able to </w:t>
      </w:r>
      <w:r w:rsidRPr="0076075B">
        <w:rPr>
          <w:rFonts w:ascii="Times New Roman" w:hAnsi="Times New Roman" w:cs="Times New Roman"/>
          <w:sz w:val="24"/>
        </w:rPr>
        <w:t>“serve its purpose of identifying the (</w:t>
      </w:r>
      <w:proofErr w:type="spellStart"/>
      <w:r w:rsidRPr="0076075B">
        <w:rPr>
          <w:rFonts w:ascii="Times New Roman" w:hAnsi="Times New Roman" w:cs="Times New Roman"/>
          <w:sz w:val="24"/>
        </w:rPr>
        <w:t>noncreator</w:t>
      </w:r>
      <w:proofErr w:type="spellEnd"/>
      <w:r w:rsidRPr="0076075B">
        <w:rPr>
          <w:rFonts w:ascii="Times New Roman" w:hAnsi="Times New Roman" w:cs="Times New Roman"/>
          <w:sz w:val="24"/>
        </w:rPr>
        <w:t xml:space="preserve">) owner unequivocally.” </w:t>
      </w:r>
      <w:bookmarkStart w:id="23" w:name="CITRUS_BOOKMARK1000000043"/>
      <w:proofErr w:type="gramStart"/>
      <w:r w:rsidRPr="0076075B">
        <w:rPr>
          <w:rFonts w:ascii="Times New Roman" w:hAnsi="Times New Roman" w:cs="Times New Roman"/>
          <w:i/>
          <w:sz w:val="24"/>
        </w:rPr>
        <w:t>Id.</w:t>
      </w:r>
      <w:r w:rsidRPr="0076075B">
        <w:rPr>
          <w:rFonts w:ascii="Times New Roman" w:hAnsi="Times New Roman" w:cs="Times New Roman"/>
          <w:sz w:val="24"/>
        </w:rPr>
        <w:t xml:space="preserve"> at 413</w:t>
      </w:r>
      <w:bookmarkEnd w:id="23"/>
      <w:r w:rsidRPr="0076075B">
        <w:rPr>
          <w:rFonts w:ascii="Times New Roman" w:hAnsi="Times New Roman" w:cs="Times New Roman"/>
          <w:sz w:val="24"/>
        </w:rPr>
        <w:t>.</w:t>
      </w:r>
      <w:proofErr w:type="gramEnd"/>
      <w:r>
        <w:rPr>
          <w:rFonts w:ascii="Times New Roman" w:hAnsi="Times New Roman" w:cs="Times New Roman"/>
          <w:sz w:val="24"/>
        </w:rPr>
        <w:t xml:space="preserve"> </w:t>
      </w:r>
      <w:r w:rsidR="00584D73">
        <w:rPr>
          <w:rFonts w:ascii="Times New Roman" w:hAnsi="Times New Roman" w:cs="Times New Roman"/>
          <w:sz w:val="24"/>
        </w:rPr>
        <w:t>This</w:t>
      </w:r>
      <w:r>
        <w:rPr>
          <w:rFonts w:ascii="Times New Roman" w:hAnsi="Times New Roman" w:cs="Times New Roman"/>
          <w:sz w:val="24"/>
        </w:rPr>
        <w:t xml:space="preserve"> conclusion does not seem to be cogent. In </w:t>
      </w:r>
      <w:r>
        <w:rPr>
          <w:rFonts w:ascii="Times New Roman" w:hAnsi="Times New Roman" w:cs="Times New Roman"/>
          <w:i/>
          <w:sz w:val="24"/>
        </w:rPr>
        <w:t>Playboy</w:t>
      </w:r>
      <w:r>
        <w:rPr>
          <w:rFonts w:ascii="Times New Roman" w:hAnsi="Times New Roman" w:cs="Times New Roman"/>
          <w:sz w:val="24"/>
        </w:rPr>
        <w:t xml:space="preserve">, the court agrees that the writing requirement exists as a means of clarifying the path of ownership, and that allowing parties to enter into work for hire agreements years after the creation of the work would undermine “Congress’s goal of predictability.” However, the court in </w:t>
      </w:r>
      <w:r>
        <w:rPr>
          <w:rFonts w:ascii="Times New Roman" w:hAnsi="Times New Roman" w:cs="Times New Roman"/>
          <w:i/>
          <w:sz w:val="24"/>
        </w:rPr>
        <w:t>Playboy</w:t>
      </w:r>
      <w:r>
        <w:rPr>
          <w:rFonts w:ascii="Times New Roman" w:hAnsi="Times New Roman" w:cs="Times New Roman"/>
          <w:sz w:val="24"/>
        </w:rPr>
        <w:t xml:space="preserve"> rejects the conclusion that to ensure predictability the written document must come into existence before the creation of the work.  The court claimed that by disallowing contracts not fully executed until after the work’s creations, but based upon a unanimous belief that the work for hire doctrine would apply, “the bright line rule could frustrate the intent of the parties, and cloud rather than serve the goal of certainty.  </w:t>
      </w:r>
      <w:bookmarkStart w:id="24" w:name="CITRUS_BOOKMARK44"/>
      <w:r w:rsidRPr="006721DE">
        <w:rPr>
          <w:rFonts w:ascii="Times New Roman" w:hAnsi="Times New Roman" w:cs="Times New Roman"/>
          <w:i/>
          <w:sz w:val="24"/>
        </w:rPr>
        <w:t>Id.</w:t>
      </w:r>
      <w:r w:rsidRPr="00DD1C88">
        <w:rPr>
          <w:rFonts w:ascii="Times New Roman" w:hAnsi="Times New Roman" w:cs="Times New Roman"/>
          <w:sz w:val="24"/>
        </w:rPr>
        <w:t xml:space="preserve"> (quoting 1 </w:t>
      </w:r>
      <w:proofErr w:type="spellStart"/>
      <w:r w:rsidRPr="00DD1C88">
        <w:rPr>
          <w:rFonts w:ascii="Times New Roman" w:hAnsi="Times New Roman" w:cs="Times New Roman"/>
          <w:sz w:val="24"/>
        </w:rPr>
        <w:t>Nimmer</w:t>
      </w:r>
      <w:proofErr w:type="spellEnd"/>
      <w:r w:rsidRPr="00DD1C88">
        <w:rPr>
          <w:rFonts w:ascii="Times New Roman" w:hAnsi="Times New Roman" w:cs="Times New Roman"/>
          <w:sz w:val="24"/>
        </w:rPr>
        <w:t xml:space="preserve"> §</w:t>
      </w:r>
      <w:r w:rsidR="00DD1C88">
        <w:rPr>
          <w:rFonts w:ascii="Times New Roman" w:hAnsi="Times New Roman" w:cs="Times New Roman"/>
          <w:sz w:val="24"/>
        </w:rPr>
        <w:t> 5.03[B][2][b] (1994)</w:t>
      </w:r>
      <w:bookmarkEnd w:id="24"/>
      <w:r w:rsidRPr="00DD1C88">
        <w:rPr>
          <w:rFonts w:ascii="Times New Roman" w:hAnsi="Times New Roman" w:cs="Times New Roman"/>
          <w:sz w:val="24"/>
        </w:rPr>
        <w:t>)</w:t>
      </w:r>
      <w:r w:rsidRPr="002F11D3">
        <w:rPr>
          <w:rFonts w:ascii="Times New Roman" w:hAnsi="Times New Roman" w:cs="Times New Roman"/>
          <w:sz w:val="24"/>
        </w:rPr>
        <w:t>.</w:t>
      </w:r>
      <w:r>
        <w:rPr>
          <w:rFonts w:ascii="Times New Roman" w:hAnsi="Times New Roman" w:cs="Times New Roman"/>
          <w:sz w:val="24"/>
        </w:rPr>
        <w:t xml:space="preserve">  This seems to be a logical conclusion.  If both parties are operation under the belief that the work for hire doctrine would apply, and both parties then formalize this understanding with a written document created in a timely manner, then why should a court contradict the clear intentions of both parties?  </w:t>
      </w:r>
      <w:r>
        <w:rPr>
          <w:rFonts w:ascii="Times New Roman" w:eastAsia="Times New Roman" w:hAnsi="Times New Roman" w:cs="Times New Roman"/>
          <w:sz w:val="24"/>
          <w:szCs w:val="24"/>
        </w:rPr>
        <w:t xml:space="preserve">If the parties to the agreement did not believe that the work was to be for hire, they would not and should not </w:t>
      </w:r>
      <w:r>
        <w:rPr>
          <w:rFonts w:ascii="Times New Roman" w:eastAsia="Times New Roman" w:hAnsi="Times New Roman" w:cs="Times New Roman"/>
          <w:sz w:val="24"/>
          <w:szCs w:val="24"/>
        </w:rPr>
        <w:lastRenderedPageBreak/>
        <w:t>explicitly agree to this assertion by signing the contract.   Additionally, other specifications of the contracts</w:t>
      </w:r>
      <w:r w:rsidR="001B2EBB">
        <w:rPr>
          <w:rFonts w:ascii="Times New Roman" w:eastAsia="Times New Roman" w:hAnsi="Times New Roman" w:cs="Times New Roman"/>
          <w:sz w:val="24"/>
          <w:szCs w:val="24"/>
        </w:rPr>
        <w:t>, such as compensation,</w:t>
      </w:r>
      <w:r>
        <w:rPr>
          <w:rFonts w:ascii="Times New Roman" w:eastAsia="Times New Roman" w:hAnsi="Times New Roman" w:cs="Times New Roman"/>
          <w:sz w:val="24"/>
          <w:szCs w:val="24"/>
        </w:rPr>
        <w:t xml:space="preserve"> would be highly dependent upon the belief that the </w:t>
      </w:r>
      <w:proofErr w:type="gramStart"/>
      <w:r>
        <w:rPr>
          <w:rFonts w:ascii="Times New Roman" w:eastAsia="Times New Roman" w:hAnsi="Times New Roman" w:cs="Times New Roman"/>
          <w:sz w:val="24"/>
          <w:szCs w:val="24"/>
        </w:rPr>
        <w:t>copyright and authorship would be held by the hiring party</w:t>
      </w:r>
      <w:proofErr w:type="gramEnd"/>
      <w:r>
        <w:rPr>
          <w:rFonts w:ascii="Times New Roman" w:eastAsia="Times New Roman" w:hAnsi="Times New Roman" w:cs="Times New Roman"/>
          <w:sz w:val="24"/>
          <w:szCs w:val="24"/>
        </w:rPr>
        <w:t xml:space="preserve">.  By allowing one of the terms of the relationship to change, all of the other details in the agreement would be up for debate.  Because of these </w:t>
      </w:r>
      <w:r w:rsidR="00584D73">
        <w:rPr>
          <w:rFonts w:ascii="Times New Roman" w:eastAsia="Times New Roman" w:hAnsi="Times New Roman" w:cs="Times New Roman"/>
          <w:sz w:val="24"/>
          <w:szCs w:val="24"/>
        </w:rPr>
        <w:t>reasons, allowing for contracts</w:t>
      </w:r>
      <w:r>
        <w:rPr>
          <w:rFonts w:ascii="Times New Roman" w:eastAsia="Times New Roman" w:hAnsi="Times New Roman" w:cs="Times New Roman"/>
          <w:sz w:val="24"/>
          <w:szCs w:val="24"/>
        </w:rPr>
        <w:t xml:space="preserve"> written after completion of the work but c</w:t>
      </w:r>
      <w:r w:rsidR="00584D73">
        <w:rPr>
          <w:rFonts w:ascii="Times New Roman" w:eastAsia="Times New Roman" w:hAnsi="Times New Roman" w:cs="Times New Roman"/>
          <w:sz w:val="24"/>
          <w:szCs w:val="24"/>
        </w:rPr>
        <w:t>onfirming early oral agreements</w:t>
      </w:r>
      <w:r>
        <w:rPr>
          <w:rFonts w:ascii="Times New Roman" w:eastAsia="Times New Roman" w:hAnsi="Times New Roman" w:cs="Times New Roman"/>
          <w:sz w:val="24"/>
          <w:szCs w:val="24"/>
        </w:rPr>
        <w:t xml:space="preserve"> would further the idea of predictability that Congress sought to promote with this statute. </w:t>
      </w:r>
    </w:p>
    <w:p w14:paraId="08821B6F" w14:textId="77777777" w:rsidR="0052315A" w:rsidRPr="00DA0824" w:rsidRDefault="0052315A" w:rsidP="003A31DF">
      <w:pPr>
        <w:spacing w:after="240" w:line="480" w:lineRule="auto"/>
        <w:ind w:firstLine="720"/>
        <w:rPr>
          <w:rFonts w:ascii="Times New Roman" w:eastAsia="Times New Roman" w:hAnsi="Times New Roman" w:cs="Times New Roman"/>
          <w:sz w:val="24"/>
          <w:szCs w:val="24"/>
        </w:rPr>
      </w:pPr>
      <w:r w:rsidRPr="00DA0824">
        <w:rPr>
          <w:rFonts w:ascii="Times New Roman" w:eastAsia="Times New Roman" w:hAnsi="Times New Roman" w:cs="Times New Roman"/>
          <w:sz w:val="24"/>
          <w:szCs w:val="24"/>
        </w:rPr>
        <w:t xml:space="preserve"> In the present case, as well as in the </w:t>
      </w:r>
      <w:proofErr w:type="spellStart"/>
      <w:r>
        <w:rPr>
          <w:rFonts w:ascii="Times New Roman" w:eastAsia="Times New Roman" w:hAnsi="Times New Roman" w:cs="Times New Roman"/>
          <w:i/>
          <w:sz w:val="24"/>
          <w:szCs w:val="24"/>
        </w:rPr>
        <w:t>Rutenberg</w:t>
      </w:r>
      <w:proofErr w:type="spellEnd"/>
      <w:r>
        <w:rPr>
          <w:rFonts w:ascii="Times New Roman" w:eastAsia="Times New Roman" w:hAnsi="Times New Roman" w:cs="Times New Roman"/>
          <w:i/>
          <w:sz w:val="24"/>
          <w:szCs w:val="24"/>
        </w:rPr>
        <w:t xml:space="preserve"> Homes</w:t>
      </w:r>
      <w:r w:rsidR="00584D73">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Playboy </w:t>
      </w:r>
      <w:r>
        <w:rPr>
          <w:rFonts w:ascii="Times New Roman" w:eastAsia="Times New Roman" w:hAnsi="Times New Roman" w:cs="Times New Roman"/>
          <w:sz w:val="24"/>
          <w:szCs w:val="24"/>
        </w:rPr>
        <w:t xml:space="preserve">and </w:t>
      </w:r>
      <w:proofErr w:type="gramStart"/>
      <w:r w:rsidRPr="00DA0824">
        <w:rPr>
          <w:rFonts w:ascii="Times New Roman" w:eastAsia="Times New Roman" w:hAnsi="Times New Roman" w:cs="Times New Roman"/>
          <w:i/>
          <w:sz w:val="24"/>
          <w:szCs w:val="24"/>
        </w:rPr>
        <w:t>Great S. Homes</w:t>
      </w:r>
      <w:proofErr w:type="gramEnd"/>
      <w:r w:rsidRPr="00DA0824">
        <w:rPr>
          <w:rFonts w:ascii="Times New Roman" w:eastAsia="Times New Roman" w:hAnsi="Times New Roman" w:cs="Times New Roman"/>
          <w:i/>
          <w:sz w:val="24"/>
          <w:szCs w:val="24"/>
        </w:rPr>
        <w:t xml:space="preserve"> </w:t>
      </w:r>
      <w:r w:rsidRPr="00DA0824">
        <w:rPr>
          <w:rFonts w:ascii="Times New Roman" w:eastAsia="Times New Roman" w:hAnsi="Times New Roman" w:cs="Times New Roman"/>
          <w:sz w:val="24"/>
          <w:szCs w:val="24"/>
        </w:rPr>
        <w:t xml:space="preserve">cases, an oral agreement for a work to be for hire was struck before the work was created, and was later formalized with the </w:t>
      </w:r>
      <w:r>
        <w:rPr>
          <w:rFonts w:ascii="Times New Roman" w:eastAsia="Times New Roman" w:hAnsi="Times New Roman" w:cs="Times New Roman"/>
          <w:sz w:val="24"/>
          <w:szCs w:val="24"/>
        </w:rPr>
        <w:t>signing of the document</w:t>
      </w:r>
      <w:r w:rsidRPr="00DA0824">
        <w:rPr>
          <w:rFonts w:ascii="Times New Roman" w:eastAsia="Times New Roman" w:hAnsi="Times New Roman" w:cs="Times New Roman"/>
          <w:sz w:val="24"/>
          <w:szCs w:val="24"/>
        </w:rPr>
        <w:t xml:space="preserve">.  Lime and Nelson, having agreed that the screenplay was to be considered work for hire, both acted in a manner analogous to if an actual written contract had existed, and later signed the contract that enforced the terms under which they had been acting the </w:t>
      </w:r>
      <w:r>
        <w:rPr>
          <w:rFonts w:ascii="Times New Roman" w:eastAsia="Times New Roman" w:hAnsi="Times New Roman" w:cs="Times New Roman"/>
          <w:sz w:val="24"/>
          <w:szCs w:val="24"/>
        </w:rPr>
        <w:t>entire</w:t>
      </w:r>
      <w:r w:rsidRPr="00DA0824">
        <w:rPr>
          <w:rFonts w:ascii="Times New Roman" w:eastAsia="Times New Roman" w:hAnsi="Times New Roman" w:cs="Times New Roman"/>
          <w:sz w:val="24"/>
          <w:szCs w:val="24"/>
        </w:rPr>
        <w:t xml:space="preserve"> time.  Their individual behaviors would not have changed in anyway if a written document had existed from the beginning</w:t>
      </w:r>
      <w:r>
        <w:rPr>
          <w:rFonts w:ascii="Times New Roman" w:eastAsia="Times New Roman" w:hAnsi="Times New Roman" w:cs="Times New Roman"/>
          <w:sz w:val="24"/>
          <w:szCs w:val="24"/>
        </w:rPr>
        <w:t>, and the fact that the screenplay would fall under the work for hire doctrine likely played a role in the other specifications of the contract</w:t>
      </w:r>
      <w:r w:rsidRPr="00DA0824">
        <w:rPr>
          <w:rFonts w:ascii="Times New Roman" w:eastAsia="Times New Roman" w:hAnsi="Times New Roman" w:cs="Times New Roman"/>
          <w:sz w:val="24"/>
          <w:szCs w:val="24"/>
        </w:rPr>
        <w:t xml:space="preserve">.  The existence of the document requirement is to ensure that the </w:t>
      </w:r>
      <w:proofErr w:type="gramStart"/>
      <w:r w:rsidRPr="00DA0824">
        <w:rPr>
          <w:rFonts w:ascii="Times New Roman" w:eastAsia="Times New Roman" w:hAnsi="Times New Roman" w:cs="Times New Roman"/>
          <w:sz w:val="24"/>
          <w:szCs w:val="24"/>
        </w:rPr>
        <w:t>creator of a work is not taken advantage of by the commissioner of said work</w:t>
      </w:r>
      <w:proofErr w:type="gramEnd"/>
      <w:r w:rsidRPr="00DA0824">
        <w:rPr>
          <w:rFonts w:ascii="Times New Roman" w:eastAsia="Times New Roman" w:hAnsi="Times New Roman" w:cs="Times New Roman"/>
          <w:sz w:val="24"/>
          <w:szCs w:val="24"/>
        </w:rPr>
        <w:t xml:space="preserve">. When Lime signed the document, she confirmed that she had be working under the impression that her screenplay was to be a work for hire and knowingly signing over the rights to the screenplay.  By agreeing to this document, she clearly does not fall into the class of people that statute is trying to protect, and the Congressional goal of ensuring clarity of property rights in intellectual property claims is fulfilled.   </w:t>
      </w:r>
      <w:r>
        <w:rPr>
          <w:rFonts w:ascii="Times New Roman" w:eastAsia="Times New Roman" w:hAnsi="Times New Roman" w:cs="Times New Roman"/>
          <w:sz w:val="24"/>
          <w:szCs w:val="24"/>
        </w:rPr>
        <w:t>By following the decisions in the Second and Eleventh Circuit,</w:t>
      </w:r>
      <w:r w:rsidRPr="00DA0824">
        <w:rPr>
          <w:rFonts w:ascii="Times New Roman" w:eastAsia="Times New Roman" w:hAnsi="Times New Roman" w:cs="Times New Roman"/>
          <w:sz w:val="24"/>
          <w:szCs w:val="24"/>
        </w:rPr>
        <w:t xml:space="preserve"> the oral agreement reached by Lime </w:t>
      </w:r>
      <w:r w:rsidRPr="00DA0824">
        <w:rPr>
          <w:rFonts w:ascii="Times New Roman" w:eastAsia="Times New Roman" w:hAnsi="Times New Roman" w:cs="Times New Roman"/>
          <w:sz w:val="24"/>
          <w:szCs w:val="24"/>
        </w:rPr>
        <w:lastRenderedPageBreak/>
        <w:t>and Nelson, and</w:t>
      </w:r>
      <w:r>
        <w:rPr>
          <w:rFonts w:ascii="Times New Roman" w:eastAsia="Times New Roman" w:hAnsi="Times New Roman" w:cs="Times New Roman"/>
          <w:sz w:val="24"/>
          <w:szCs w:val="24"/>
        </w:rPr>
        <w:t xml:space="preserve"> later formalized in a contract</w:t>
      </w:r>
      <w:r w:rsidRPr="00DA0824">
        <w:rPr>
          <w:rFonts w:ascii="Times New Roman" w:eastAsia="Times New Roman" w:hAnsi="Times New Roman" w:cs="Times New Roman"/>
          <w:sz w:val="24"/>
          <w:szCs w:val="24"/>
        </w:rPr>
        <w:t xml:space="preserve"> signed by both parties, fulfills the </w:t>
      </w:r>
      <w:proofErr w:type="spellStart"/>
      <w:r>
        <w:rPr>
          <w:rFonts w:ascii="Times New Roman" w:eastAsia="Times New Roman" w:hAnsi="Times New Roman" w:cs="Times New Roman"/>
          <w:sz w:val="24"/>
          <w:szCs w:val="24"/>
        </w:rPr>
        <w:t>statutes’s</w:t>
      </w:r>
      <w:proofErr w:type="spellEnd"/>
      <w:r w:rsidRPr="00DA0824">
        <w:rPr>
          <w:rFonts w:ascii="Times New Roman" w:eastAsia="Times New Roman" w:hAnsi="Times New Roman" w:cs="Times New Roman"/>
          <w:sz w:val="24"/>
          <w:szCs w:val="24"/>
        </w:rPr>
        <w:t xml:space="preserve"> requirement for a written document.</w:t>
      </w:r>
    </w:p>
    <w:p w14:paraId="02633849" w14:textId="77777777" w:rsidR="0052315A" w:rsidRDefault="0052315A" w:rsidP="003A31DF">
      <w:pPr>
        <w:pStyle w:val="ListParagraph"/>
        <w:spacing w:after="0" w:line="240" w:lineRule="auto"/>
        <w:ind w:left="1080"/>
        <w:rPr>
          <w:rFonts w:ascii="Times New Roman" w:eastAsia="Times New Roman" w:hAnsi="Times New Roman" w:cs="Times New Roman"/>
          <w:b/>
          <w:color w:val="000000"/>
          <w:sz w:val="24"/>
          <w:szCs w:val="24"/>
        </w:rPr>
      </w:pPr>
    </w:p>
    <w:p w14:paraId="3372FC85" w14:textId="77777777" w:rsidR="0052315A" w:rsidRDefault="0052315A" w:rsidP="003A31DF">
      <w:pPr>
        <w:pStyle w:val="ListParagraph"/>
        <w:numPr>
          <w:ilvl w:val="1"/>
          <w:numId w:val="1"/>
        </w:num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Allowing Written Agreements Created after the Completion of the Work Furthers Policy Considerations</w:t>
      </w:r>
    </w:p>
    <w:p w14:paraId="5D4E5667" w14:textId="77777777" w:rsidR="0052315A" w:rsidRDefault="0052315A" w:rsidP="003A31DF">
      <w:pPr>
        <w:spacing w:after="0" w:line="240" w:lineRule="auto"/>
        <w:rPr>
          <w:rFonts w:ascii="Times New Roman" w:eastAsia="Times New Roman" w:hAnsi="Times New Roman" w:cs="Times New Roman"/>
          <w:b/>
          <w:color w:val="000000"/>
          <w:sz w:val="24"/>
          <w:szCs w:val="24"/>
        </w:rPr>
      </w:pPr>
    </w:p>
    <w:p w14:paraId="2155A754" w14:textId="77777777" w:rsidR="0052315A" w:rsidRDefault="0052315A" w:rsidP="003A31DF">
      <w:pPr>
        <w:spacing w:after="0" w:line="480" w:lineRule="auto"/>
        <w:ind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Congress felt that one of the main goals in creating the Copyright Act of 1976 was to promote predictability and clarity in property right claims.  While creating a written document before the creation of the work would eliminate all questions as to authorship and ownership of copyright</w:t>
      </w:r>
      <w:r w:rsidR="00C11B05">
        <w:rPr>
          <w:rFonts w:ascii="Times New Roman" w:eastAsia="Times New Roman" w:hAnsi="Times New Roman" w:cs="Times New Roman"/>
          <w:color w:val="000000"/>
          <w:sz w:val="24"/>
          <w:szCs w:val="24"/>
        </w:rPr>
        <w:t xml:space="preserve">, it would be detrimental to allow this to be the only chronology that is recognized by the courts. </w:t>
      </w:r>
      <w:r>
        <w:rPr>
          <w:rFonts w:ascii="Times New Roman" w:eastAsia="Times New Roman" w:hAnsi="Times New Roman" w:cs="Times New Roman"/>
          <w:color w:val="000000"/>
          <w:sz w:val="24"/>
          <w:szCs w:val="24"/>
        </w:rPr>
        <w:t xml:space="preserve">By allowing oral agreements to be confirmed at a later time in written form, </w:t>
      </w:r>
      <w:r w:rsidR="00C11B05">
        <w:rPr>
          <w:rFonts w:ascii="Times New Roman" w:eastAsia="Times New Roman" w:hAnsi="Times New Roman" w:cs="Times New Roman"/>
          <w:color w:val="000000"/>
          <w:sz w:val="24"/>
          <w:szCs w:val="24"/>
        </w:rPr>
        <w:t xml:space="preserve">parties are able to be confident of the relationship that exists between them, even if a written document has not yet been created.  </w:t>
      </w:r>
    </w:p>
    <w:p w14:paraId="6E01094B" w14:textId="77777777" w:rsidR="00C1200B" w:rsidRPr="0052315A" w:rsidRDefault="00C11B05" w:rsidP="003A31DF">
      <w:pPr>
        <w:spacing w:after="0" w:line="48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It could be argued that by allowing post-creation documentation results in a paradox of a work having two original authors at different times.  This however would not be the case.  Once the oral agreement has been made that a work is to be for hire, the hiring party is considered the author, with the contract merely formalizing something that had been fact from the beginning.  If both parties are operating under the belief that the work for hire doctrine will applies, as is true in this case, then there is no debate as to who is the original author and copyright holder.  </w:t>
      </w:r>
      <w:r w:rsidR="00C1200B">
        <w:rPr>
          <w:rFonts w:ascii="Times New Roman" w:eastAsia="Times New Roman" w:hAnsi="Times New Roman" w:cs="Times New Roman"/>
          <w:color w:val="000000"/>
          <w:sz w:val="24"/>
          <w:szCs w:val="24"/>
        </w:rPr>
        <w:tab/>
      </w:r>
      <w:r w:rsidR="00BE4DDC">
        <w:rPr>
          <w:rFonts w:ascii="Times New Roman" w:eastAsia="Times New Roman" w:hAnsi="Times New Roman" w:cs="Times New Roman"/>
          <w:color w:val="000000"/>
          <w:sz w:val="24"/>
          <w:szCs w:val="24"/>
        </w:rPr>
        <w:t xml:space="preserve">Requiring the documentation to come into existence before any work is done handcuffs both the hiring party and creating party. It would be difficult to establish what constitutes “work.”  It would not be unreasonable to imagine a scenario where OGS TV would approach a newer writer with the same project, but making the deal contingent upon the writer presenting a proposal to OGS TV.  In this situation the project, only after the project has been started would the parties enter into a contract. Since work has already been completed on the work, the parties </w:t>
      </w:r>
      <w:r w:rsidR="00BE4DDC">
        <w:rPr>
          <w:rFonts w:ascii="Times New Roman" w:eastAsia="Times New Roman" w:hAnsi="Times New Roman" w:cs="Times New Roman"/>
          <w:color w:val="000000"/>
          <w:sz w:val="24"/>
          <w:szCs w:val="24"/>
        </w:rPr>
        <w:lastRenderedPageBreak/>
        <w:t>would not have the option having the work fall under the work for hire doctrine</w:t>
      </w:r>
      <w:r w:rsidR="00D539B8">
        <w:rPr>
          <w:rFonts w:ascii="Times New Roman" w:eastAsia="Times New Roman" w:hAnsi="Times New Roman" w:cs="Times New Roman"/>
          <w:color w:val="000000"/>
          <w:sz w:val="24"/>
          <w:szCs w:val="24"/>
        </w:rPr>
        <w:t xml:space="preserve"> under the interpretation of the Seventh Circuit.  This is only one example of how mandating the contract exist before work began upon the project would limit the opportunities of both hiring and creating parties.  </w:t>
      </w:r>
    </w:p>
    <w:p w14:paraId="38CE82E6" w14:textId="77777777" w:rsidR="00997AA7" w:rsidRPr="00DA0824" w:rsidRDefault="00997AA7" w:rsidP="003A31DF">
      <w:pPr>
        <w:pStyle w:val="ListParagraph"/>
        <w:numPr>
          <w:ilvl w:val="1"/>
          <w:numId w:val="1"/>
        </w:numPr>
        <w:spacing w:line="480" w:lineRule="auto"/>
        <w:rPr>
          <w:rFonts w:ascii="Times New Roman" w:hAnsi="Times New Roman" w:cs="Times New Roman"/>
          <w:b/>
          <w:sz w:val="24"/>
          <w:szCs w:val="24"/>
        </w:rPr>
      </w:pPr>
      <w:r w:rsidRPr="00DA0824">
        <w:rPr>
          <w:rFonts w:ascii="Times New Roman" w:hAnsi="Times New Roman" w:cs="Times New Roman"/>
          <w:b/>
          <w:sz w:val="24"/>
          <w:szCs w:val="24"/>
        </w:rPr>
        <w:t xml:space="preserve">The </w:t>
      </w:r>
      <w:r w:rsidR="001647FA" w:rsidRPr="00DA0824">
        <w:rPr>
          <w:rFonts w:ascii="Times New Roman" w:hAnsi="Times New Roman" w:cs="Times New Roman"/>
          <w:b/>
          <w:sz w:val="24"/>
          <w:szCs w:val="24"/>
        </w:rPr>
        <w:t>screenplay copyright as well as all other rights of usage of the screenplay belongs</w:t>
      </w:r>
      <w:r w:rsidRPr="00DA0824">
        <w:rPr>
          <w:rFonts w:ascii="Times New Roman" w:hAnsi="Times New Roman" w:cs="Times New Roman"/>
          <w:b/>
          <w:sz w:val="24"/>
          <w:szCs w:val="24"/>
        </w:rPr>
        <w:t xml:space="preserve"> to OGS TV, Inc. </w:t>
      </w:r>
    </w:p>
    <w:p w14:paraId="658086BF" w14:textId="77777777" w:rsidR="00997AA7" w:rsidRPr="00DA0824" w:rsidRDefault="00997AA7" w:rsidP="003A31DF">
      <w:pPr>
        <w:spacing w:line="480" w:lineRule="auto"/>
        <w:ind w:firstLine="720"/>
        <w:rPr>
          <w:rFonts w:ascii="Times New Roman" w:eastAsia="Times New Roman" w:hAnsi="Times New Roman" w:cs="Times New Roman"/>
          <w:sz w:val="24"/>
          <w:szCs w:val="24"/>
        </w:rPr>
      </w:pPr>
      <w:r w:rsidRPr="00DA0824">
        <w:rPr>
          <w:rFonts w:ascii="Times New Roman" w:hAnsi="Times New Roman" w:cs="Times New Roman"/>
          <w:sz w:val="24"/>
          <w:szCs w:val="24"/>
        </w:rPr>
        <w:t xml:space="preserve">Due to the work for hire relationship between OGS TV, Inc. and Lime, OGS is viewed as the author of the work, and is also the initial holder of the copyright.   The Act states “In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  </w:t>
      </w:r>
      <w:bookmarkStart w:id="25" w:name="CITRUS_BOOKMARK22"/>
      <w:proofErr w:type="gramStart"/>
      <w:r w:rsidR="00DA0824" w:rsidRPr="00DA0824">
        <w:rPr>
          <w:rFonts w:ascii="Times New Roman" w:hAnsi="Times New Roman" w:cs="Times New Roman"/>
          <w:sz w:val="24"/>
          <w:szCs w:val="24"/>
        </w:rPr>
        <w:t>17 U.S.C.A. § 201</w:t>
      </w:r>
      <w:bookmarkEnd w:id="25"/>
      <w:r w:rsidRPr="00DA0824">
        <w:rPr>
          <w:rFonts w:ascii="Times New Roman" w:hAnsi="Times New Roman" w:cs="Times New Roman"/>
          <w:sz w:val="24"/>
          <w:szCs w:val="24"/>
        </w:rPr>
        <w:t>.</w:t>
      </w:r>
      <w:proofErr w:type="gramEnd"/>
      <w:r w:rsidRPr="00DA0824">
        <w:rPr>
          <w:rFonts w:ascii="Times New Roman" w:hAnsi="Times New Roman" w:cs="Times New Roman"/>
          <w:sz w:val="24"/>
          <w:szCs w:val="24"/>
        </w:rPr>
        <w:t xml:space="preserve">  Additionally, the Court in </w:t>
      </w:r>
      <w:r w:rsidRPr="00DA0824">
        <w:rPr>
          <w:rFonts w:ascii="Times New Roman" w:hAnsi="Times New Roman" w:cs="Times New Roman"/>
          <w:i/>
          <w:sz w:val="24"/>
          <w:szCs w:val="24"/>
        </w:rPr>
        <w:t>Arthur Rutenberg Homes v. Drew Homes, Inc.</w:t>
      </w:r>
      <w:r w:rsidRPr="00DA0824">
        <w:rPr>
          <w:rFonts w:ascii="Times New Roman" w:hAnsi="Times New Roman" w:cs="Times New Roman"/>
          <w:sz w:val="24"/>
          <w:szCs w:val="24"/>
        </w:rPr>
        <w:t xml:space="preserve"> found that the ownership of a work arises at the time an oral agreement is made, and that a later writing is sufficient documentation to transfer the actu</w:t>
      </w:r>
      <w:r w:rsidR="00DD1C88">
        <w:rPr>
          <w:rFonts w:ascii="Times New Roman" w:hAnsi="Times New Roman" w:cs="Times New Roman"/>
          <w:sz w:val="24"/>
          <w:szCs w:val="24"/>
        </w:rPr>
        <w:t xml:space="preserve">al ownership of the copyright. </w:t>
      </w:r>
      <w:proofErr w:type="gramStart"/>
      <w:r w:rsidR="00DD1C88" w:rsidRPr="00DD1C88">
        <w:rPr>
          <w:rFonts w:ascii="Times New Roman" w:hAnsi="Times New Roman" w:cs="Times New Roman"/>
          <w:sz w:val="24"/>
          <w:szCs w:val="24"/>
        </w:rPr>
        <w:t>29 F.3d 1529, 1532 (11th Cir. 1994)</w:t>
      </w:r>
      <w:r w:rsidRPr="00DA0824">
        <w:rPr>
          <w:rFonts w:ascii="Times New Roman" w:eastAsia="Times New Roman" w:hAnsi="Times New Roman" w:cs="Times New Roman"/>
          <w:sz w:val="24"/>
          <w:szCs w:val="24"/>
        </w:rPr>
        <w:t>.</w:t>
      </w:r>
      <w:proofErr w:type="gramEnd"/>
      <w:r w:rsidRPr="00DA0824">
        <w:rPr>
          <w:rFonts w:ascii="Times New Roman" w:eastAsia="Times New Roman" w:hAnsi="Times New Roman" w:cs="Times New Roman"/>
          <w:sz w:val="24"/>
          <w:szCs w:val="24"/>
        </w:rPr>
        <w:t xml:space="preserve">  Assuming that it is found to be a work for hire relationship that existed between Lime and OGS, OGS should be viewed as the author of the screenplay prepared by Lime, and would hold the copyright to the work upon the signing of the document confirming their earlier oral agreement.  </w:t>
      </w:r>
      <w:r w:rsidRPr="00DA0824">
        <w:rPr>
          <w:rFonts w:ascii="Times New Roman" w:eastAsia="Times New Roman" w:hAnsi="Times New Roman" w:cs="Times New Roman"/>
          <w:i/>
          <w:sz w:val="24"/>
          <w:szCs w:val="24"/>
        </w:rPr>
        <w:t xml:space="preserve">Rutenberg </w:t>
      </w:r>
      <w:r w:rsidRPr="00DA0824">
        <w:rPr>
          <w:rFonts w:ascii="Times New Roman" w:eastAsia="Times New Roman" w:hAnsi="Times New Roman" w:cs="Times New Roman"/>
          <w:sz w:val="24"/>
          <w:szCs w:val="24"/>
        </w:rPr>
        <w:t xml:space="preserve">also relates that even if there are some errors in registering for the copyright, as could be claimed due to OGS registering before Lime signed the document, the ownership of the copyright would not be affected.  Due to the work for hire relationship, signed document detailing this relationship, and OGS following the required protocol for securing the exclusive rights with the Register of Copyrights, the screenplay should be viewed as being authored by OGS, with them holding the copyright from the very beginning.  </w:t>
      </w:r>
    </w:p>
    <w:p w14:paraId="0EBE3B63" w14:textId="77777777" w:rsidR="00997AA7" w:rsidRPr="00DA0824" w:rsidRDefault="00997AA7" w:rsidP="003A31DF">
      <w:pPr>
        <w:pStyle w:val="ListParagraph"/>
        <w:numPr>
          <w:ilvl w:val="1"/>
          <w:numId w:val="1"/>
        </w:numPr>
        <w:spacing w:line="480" w:lineRule="auto"/>
        <w:rPr>
          <w:rFonts w:ascii="Times New Roman" w:hAnsi="Times New Roman" w:cs="Times New Roman"/>
          <w:b/>
          <w:sz w:val="24"/>
          <w:szCs w:val="24"/>
        </w:rPr>
      </w:pPr>
      <w:r w:rsidRPr="00DA0824">
        <w:rPr>
          <w:rFonts w:ascii="Times New Roman" w:hAnsi="Times New Roman" w:cs="Times New Roman"/>
          <w:b/>
          <w:sz w:val="24"/>
          <w:szCs w:val="24"/>
        </w:rPr>
        <w:lastRenderedPageBreak/>
        <w:t xml:space="preserve">Lime and </w:t>
      </w:r>
      <w:proofErr w:type="spellStart"/>
      <w:r w:rsidRPr="00DA0824">
        <w:rPr>
          <w:rFonts w:ascii="Times New Roman" w:hAnsi="Times New Roman" w:cs="Times New Roman"/>
          <w:b/>
          <w:sz w:val="24"/>
          <w:szCs w:val="24"/>
        </w:rPr>
        <w:t>TinyTV</w:t>
      </w:r>
      <w:proofErr w:type="spellEnd"/>
      <w:r w:rsidRPr="00DA0824">
        <w:rPr>
          <w:rFonts w:ascii="Times New Roman" w:hAnsi="Times New Roman" w:cs="Times New Roman"/>
          <w:b/>
          <w:sz w:val="24"/>
          <w:szCs w:val="24"/>
        </w:rPr>
        <w:t xml:space="preserve"> used the copyrighted screenplay to prepare a derivative work without the permission of the copyright holder, OGS</w:t>
      </w:r>
    </w:p>
    <w:p w14:paraId="32F8EAF4" w14:textId="77777777" w:rsidR="00B020B1" w:rsidRPr="00DA0824" w:rsidRDefault="00997AA7" w:rsidP="003A31DF">
      <w:pPr>
        <w:spacing w:line="480" w:lineRule="auto"/>
        <w:ind w:firstLine="720"/>
        <w:rPr>
          <w:rFonts w:ascii="Times New Roman" w:hAnsi="Times New Roman" w:cs="Times New Roman"/>
          <w:color w:val="252525"/>
          <w:sz w:val="24"/>
          <w:szCs w:val="24"/>
        </w:rPr>
      </w:pPr>
      <w:r w:rsidRPr="00DA0824">
        <w:rPr>
          <w:rFonts w:ascii="Times New Roman" w:hAnsi="Times New Roman" w:cs="Times New Roman"/>
          <w:sz w:val="24"/>
          <w:szCs w:val="24"/>
        </w:rPr>
        <w:t xml:space="preserve">By preparing a </w:t>
      </w:r>
      <w:proofErr w:type="gramStart"/>
      <w:r w:rsidRPr="00DA0824">
        <w:rPr>
          <w:rFonts w:ascii="Times New Roman" w:hAnsi="Times New Roman" w:cs="Times New Roman"/>
          <w:sz w:val="24"/>
          <w:szCs w:val="24"/>
        </w:rPr>
        <w:t>script which</w:t>
      </w:r>
      <w:proofErr w:type="gramEnd"/>
      <w:r w:rsidRPr="00DA0824">
        <w:rPr>
          <w:rFonts w:ascii="Times New Roman" w:hAnsi="Times New Roman" w:cs="Times New Roman"/>
          <w:sz w:val="24"/>
          <w:szCs w:val="24"/>
        </w:rPr>
        <w:t xml:space="preserve"> copied large parts from the original screenplay without the consent of OGS TV, defendants Lime and TinyTV infringed upon OGS’s copyright.  The Act states that the owner of a copyright has the “exclusive rights to do and to authorize any of the following… to prepare derivative works based upon the copyrighted work,” having earlier defined a derivative work as “</w:t>
      </w:r>
      <w:r w:rsidRPr="00DA0824">
        <w:rPr>
          <w:rFonts w:ascii="Times New Roman" w:hAnsi="Times New Roman" w:cs="Times New Roman"/>
          <w:color w:val="252525"/>
          <w:sz w:val="24"/>
          <w:szCs w:val="24"/>
        </w:rPr>
        <w:t>a work based upon one or more preexisting works</w:t>
      </w:r>
      <w:r w:rsidR="00DA0824" w:rsidRPr="00DA0824">
        <w:rPr>
          <w:rFonts w:ascii="Times New Roman" w:hAnsi="Times New Roman" w:cs="Times New Roman"/>
          <w:color w:val="252525"/>
          <w:sz w:val="24"/>
          <w:szCs w:val="24"/>
        </w:rPr>
        <w:t xml:space="preserve">.  </w:t>
      </w:r>
      <w:bookmarkStart w:id="26" w:name="CITRUS_BOOKMARK25"/>
      <w:proofErr w:type="gramStart"/>
      <w:r w:rsidR="008E7989" w:rsidRPr="006721DE">
        <w:rPr>
          <w:rFonts w:ascii="Times New Roman" w:hAnsi="Times New Roman" w:cs="Times New Roman"/>
          <w:i/>
          <w:color w:val="252525"/>
          <w:sz w:val="24"/>
          <w:szCs w:val="24"/>
        </w:rPr>
        <w:t>Id.</w:t>
      </w:r>
      <w:r w:rsidR="008E7989">
        <w:rPr>
          <w:rFonts w:ascii="Times New Roman" w:hAnsi="Times New Roman" w:cs="Times New Roman"/>
          <w:color w:val="252525"/>
          <w:sz w:val="24"/>
          <w:szCs w:val="24"/>
        </w:rPr>
        <w:t xml:space="preserve"> §§ 101, 106 (2)</w:t>
      </w:r>
      <w:bookmarkEnd w:id="26"/>
      <w:r w:rsidRPr="00DA0824">
        <w:rPr>
          <w:rFonts w:ascii="Times New Roman" w:hAnsi="Times New Roman" w:cs="Times New Roman"/>
          <w:color w:val="252525"/>
          <w:sz w:val="24"/>
          <w:szCs w:val="24"/>
        </w:rPr>
        <w:t>.</w:t>
      </w:r>
      <w:proofErr w:type="gramEnd"/>
      <w:r w:rsidRPr="00DA0824">
        <w:rPr>
          <w:rFonts w:ascii="Times New Roman" w:hAnsi="Times New Roman" w:cs="Times New Roman"/>
          <w:color w:val="252525"/>
          <w:sz w:val="24"/>
          <w:szCs w:val="24"/>
        </w:rPr>
        <w:t xml:space="preserve">   To show copyright infringement occurred, the plaintiff must show that they are the owners of a “valid copyright, and that the defendant copied constituent elements of a work that are original.”  </w:t>
      </w:r>
      <w:bookmarkStart w:id="27" w:name="CITRUS_BOOKMARK26"/>
      <w:r w:rsidR="001647FA" w:rsidRPr="006721DE">
        <w:rPr>
          <w:rFonts w:ascii="Times New Roman" w:hAnsi="Times New Roman" w:cs="Times New Roman"/>
          <w:i/>
          <w:color w:val="252525"/>
          <w:sz w:val="24"/>
          <w:szCs w:val="24"/>
        </w:rPr>
        <w:t>Incredible Techs</w:t>
      </w:r>
      <w:proofErr w:type="gramStart"/>
      <w:r w:rsidR="001647FA" w:rsidRPr="006721DE">
        <w:rPr>
          <w:rFonts w:ascii="Times New Roman" w:hAnsi="Times New Roman" w:cs="Times New Roman"/>
          <w:i/>
          <w:color w:val="252525"/>
          <w:sz w:val="24"/>
          <w:szCs w:val="24"/>
        </w:rPr>
        <w:t>.,</w:t>
      </w:r>
      <w:proofErr w:type="gramEnd"/>
      <w:r w:rsidR="001647FA" w:rsidRPr="006721DE">
        <w:rPr>
          <w:rFonts w:ascii="Times New Roman" w:hAnsi="Times New Roman" w:cs="Times New Roman"/>
          <w:i/>
          <w:color w:val="252525"/>
          <w:sz w:val="24"/>
          <w:szCs w:val="24"/>
        </w:rPr>
        <w:t xml:space="preserve"> Inc. v. Virtual Techs., Inc.</w:t>
      </w:r>
      <w:r w:rsidR="001647FA" w:rsidRPr="00DA0824">
        <w:rPr>
          <w:rFonts w:ascii="Times New Roman" w:hAnsi="Times New Roman" w:cs="Times New Roman"/>
          <w:color w:val="252525"/>
          <w:sz w:val="24"/>
          <w:szCs w:val="24"/>
        </w:rPr>
        <w:t>, 400 F.3d 1007, 1011 (7th Cir. 2005)</w:t>
      </w:r>
      <w:bookmarkEnd w:id="27"/>
      <w:r w:rsidRPr="00DA0824">
        <w:rPr>
          <w:rFonts w:ascii="Times New Roman" w:hAnsi="Times New Roman" w:cs="Times New Roman"/>
          <w:color w:val="252525"/>
          <w:sz w:val="24"/>
          <w:szCs w:val="24"/>
        </w:rPr>
        <w:t xml:space="preserve">.  It is an undisputed fact that the script developed by Lime and TinyTV has copied large portions of the screenplay owned by OGS, and since the copyright from a work for hire lasts for a “term of 95 years from the year of its first publication,” it is clear that the copyright is still held by OGS.   </w:t>
      </w:r>
      <w:bookmarkStart w:id="28" w:name="CITRUS_BOOKMARK27"/>
      <w:proofErr w:type="gramStart"/>
      <w:r w:rsidR="001647FA" w:rsidRPr="00DA0824">
        <w:rPr>
          <w:rFonts w:ascii="Times New Roman" w:hAnsi="Times New Roman" w:cs="Times New Roman"/>
          <w:color w:val="252525"/>
          <w:sz w:val="24"/>
          <w:szCs w:val="24"/>
        </w:rPr>
        <w:t>17 U.S.C.A. § 302 (c)</w:t>
      </w:r>
      <w:bookmarkEnd w:id="28"/>
      <w:r w:rsidRPr="00DA0824">
        <w:rPr>
          <w:rFonts w:ascii="Times New Roman" w:hAnsi="Times New Roman" w:cs="Times New Roman"/>
          <w:color w:val="252525"/>
          <w:sz w:val="24"/>
          <w:szCs w:val="24"/>
        </w:rPr>
        <w:t>.</w:t>
      </w:r>
      <w:proofErr w:type="gramEnd"/>
      <w:r w:rsidRPr="00DA0824">
        <w:rPr>
          <w:rFonts w:ascii="Times New Roman" w:hAnsi="Times New Roman" w:cs="Times New Roman"/>
          <w:color w:val="252525"/>
          <w:sz w:val="24"/>
          <w:szCs w:val="24"/>
        </w:rPr>
        <w:t xml:space="preserve"> Since OGS never granted the defendants permission to create a derivative work based upon their copyrighted property, the defendants infringed upon the copyright of OGS.  </w:t>
      </w:r>
    </w:p>
    <w:p w14:paraId="125A7001" w14:textId="77777777" w:rsidR="007D192A" w:rsidRPr="003A31DF" w:rsidRDefault="007D192A" w:rsidP="003A31DF">
      <w:pPr>
        <w:spacing w:line="480" w:lineRule="auto"/>
        <w:jc w:val="center"/>
        <w:rPr>
          <w:rFonts w:ascii="Times New Roman" w:hAnsi="Times New Roman" w:cs="Times New Roman"/>
          <w:b/>
          <w:color w:val="252525"/>
          <w:sz w:val="24"/>
          <w:szCs w:val="24"/>
          <w:u w:val="single"/>
        </w:rPr>
      </w:pPr>
      <w:r w:rsidRPr="003A31DF">
        <w:rPr>
          <w:rFonts w:ascii="Times New Roman" w:hAnsi="Times New Roman" w:cs="Times New Roman"/>
          <w:b/>
          <w:color w:val="252525"/>
          <w:sz w:val="24"/>
          <w:szCs w:val="24"/>
          <w:u w:val="single"/>
        </w:rPr>
        <w:t>CONCLUSION</w:t>
      </w:r>
    </w:p>
    <w:p w14:paraId="32879647" w14:textId="77777777" w:rsidR="007D192A" w:rsidRPr="00DA0824" w:rsidRDefault="007D192A" w:rsidP="003A31DF">
      <w:pPr>
        <w:spacing w:line="480" w:lineRule="auto"/>
        <w:rPr>
          <w:rFonts w:ascii="Times New Roman" w:hAnsi="Times New Roman" w:cs="Times New Roman"/>
          <w:color w:val="252525"/>
          <w:sz w:val="24"/>
          <w:szCs w:val="24"/>
        </w:rPr>
      </w:pPr>
      <w:r w:rsidRPr="00DA0824">
        <w:rPr>
          <w:rFonts w:ascii="Times New Roman" w:hAnsi="Times New Roman" w:cs="Times New Roman"/>
          <w:color w:val="252525"/>
          <w:sz w:val="24"/>
          <w:szCs w:val="24"/>
        </w:rPr>
        <w:tab/>
        <w:t>For all of the above r</w:t>
      </w:r>
      <w:r w:rsidR="00BA0428">
        <w:rPr>
          <w:rFonts w:ascii="Times New Roman" w:hAnsi="Times New Roman" w:cs="Times New Roman"/>
          <w:color w:val="252525"/>
          <w:sz w:val="24"/>
          <w:szCs w:val="24"/>
        </w:rPr>
        <w:t>easons, the court should deny</w:t>
      </w:r>
      <w:r w:rsidRPr="00DA0824">
        <w:rPr>
          <w:rFonts w:ascii="Times New Roman" w:hAnsi="Times New Roman" w:cs="Times New Roman"/>
          <w:color w:val="252525"/>
          <w:sz w:val="24"/>
          <w:szCs w:val="24"/>
        </w:rPr>
        <w:t xml:space="preserve"> the Defendants’ motion to dismiss.  </w:t>
      </w:r>
      <w:r w:rsidR="00BA0428">
        <w:rPr>
          <w:rFonts w:ascii="Times New Roman" w:hAnsi="Times New Roman" w:cs="Times New Roman"/>
          <w:color w:val="252525"/>
          <w:sz w:val="24"/>
          <w:szCs w:val="24"/>
        </w:rPr>
        <w:t xml:space="preserve">The </w:t>
      </w:r>
      <w:r w:rsidRPr="00DA0824">
        <w:rPr>
          <w:rFonts w:ascii="Times New Roman" w:hAnsi="Times New Roman" w:cs="Times New Roman"/>
          <w:color w:val="252525"/>
          <w:sz w:val="24"/>
          <w:szCs w:val="24"/>
        </w:rPr>
        <w:t>Plaintiff has provided grounds f</w:t>
      </w:r>
      <w:r w:rsidR="00BA0428">
        <w:rPr>
          <w:rFonts w:ascii="Times New Roman" w:hAnsi="Times New Roman" w:cs="Times New Roman"/>
          <w:color w:val="252525"/>
          <w:sz w:val="24"/>
          <w:szCs w:val="24"/>
        </w:rPr>
        <w:t>or recovery, as well as</w:t>
      </w:r>
      <w:r w:rsidRPr="00DA0824">
        <w:rPr>
          <w:rFonts w:ascii="Times New Roman" w:hAnsi="Times New Roman" w:cs="Times New Roman"/>
          <w:color w:val="252525"/>
          <w:sz w:val="24"/>
          <w:szCs w:val="24"/>
        </w:rPr>
        <w:t xml:space="preserve"> evidence backing such claims.  It has been shown above why OGS TV was the rightful owner of the copyright to the screenplay.  Additionally, there is undisputed evidence that the defendants prepared a derivative work from </w:t>
      </w:r>
      <w:r w:rsidRPr="00DA0824">
        <w:rPr>
          <w:rFonts w:ascii="Times New Roman" w:hAnsi="Times New Roman" w:cs="Times New Roman"/>
          <w:color w:val="252525"/>
          <w:sz w:val="24"/>
          <w:szCs w:val="24"/>
        </w:rPr>
        <w:lastRenderedPageBreak/>
        <w:t xml:space="preserve">the screenplay owned by OGS TV.  The defendants committed copyright infringement and the plaintiff is entitled to the relief.  </w:t>
      </w:r>
      <w:r w:rsidR="00BA0428">
        <w:rPr>
          <w:rFonts w:ascii="Times New Roman" w:hAnsi="Times New Roman" w:cs="Times New Roman"/>
          <w:color w:val="252525"/>
          <w:sz w:val="24"/>
          <w:szCs w:val="24"/>
        </w:rPr>
        <w:t>As, such, the court should deny the motion to dismiss.</w:t>
      </w:r>
    </w:p>
    <w:p w14:paraId="169CF950" w14:textId="77777777" w:rsidR="007D192A" w:rsidRPr="00DA0824" w:rsidRDefault="007D192A" w:rsidP="007D192A">
      <w:pPr>
        <w:spacing w:line="480" w:lineRule="auto"/>
        <w:rPr>
          <w:rFonts w:ascii="Times New Roman" w:hAnsi="Times New Roman" w:cs="Times New Roman"/>
          <w:color w:val="252525"/>
          <w:sz w:val="24"/>
          <w:szCs w:val="24"/>
        </w:rPr>
      </w:pPr>
      <w:r w:rsidRPr="00DA0824">
        <w:rPr>
          <w:rFonts w:ascii="Times New Roman" w:hAnsi="Times New Roman" w:cs="Times New Roman"/>
          <w:color w:val="252525"/>
          <w:sz w:val="24"/>
          <w:szCs w:val="24"/>
        </w:rPr>
        <w:t xml:space="preserve">Dated:  </w:t>
      </w:r>
      <w:r w:rsidR="003A31DF">
        <w:rPr>
          <w:rFonts w:ascii="Times New Roman" w:hAnsi="Times New Roman" w:cs="Times New Roman"/>
          <w:color w:val="252525"/>
          <w:sz w:val="24"/>
          <w:szCs w:val="24"/>
          <w:u w:val="single"/>
        </w:rPr>
        <w:t>3/22</w:t>
      </w:r>
      <w:r w:rsidRPr="00DA0824">
        <w:rPr>
          <w:rFonts w:ascii="Times New Roman" w:hAnsi="Times New Roman" w:cs="Times New Roman"/>
          <w:color w:val="252525"/>
          <w:sz w:val="24"/>
          <w:szCs w:val="24"/>
          <w:u w:val="single"/>
        </w:rPr>
        <w:t xml:space="preserve">/2012           </w:t>
      </w:r>
      <w:r w:rsidRPr="00DA0824">
        <w:rPr>
          <w:rFonts w:ascii="Times New Roman" w:hAnsi="Times New Roman" w:cs="Times New Roman"/>
          <w:color w:val="252525"/>
          <w:sz w:val="24"/>
          <w:szCs w:val="24"/>
        </w:rPr>
        <w:t xml:space="preserve">      Respectfully submitted,</w:t>
      </w:r>
    </w:p>
    <w:p w14:paraId="1F152B89" w14:textId="77777777" w:rsidR="007D192A" w:rsidRPr="00DA0824" w:rsidRDefault="007D192A" w:rsidP="007D192A">
      <w:pPr>
        <w:spacing w:line="480" w:lineRule="auto"/>
        <w:rPr>
          <w:rFonts w:ascii="Times New Roman" w:hAnsi="Times New Roman" w:cs="Times New Roman"/>
          <w:color w:val="252525"/>
          <w:sz w:val="24"/>
          <w:szCs w:val="24"/>
        </w:rPr>
      </w:pPr>
    </w:p>
    <w:p w14:paraId="0A33E676" w14:textId="77777777" w:rsidR="007D192A" w:rsidRPr="00DA0824" w:rsidRDefault="007D192A" w:rsidP="007D192A">
      <w:pPr>
        <w:pStyle w:val="Normal1"/>
        <w:spacing w:before="0" w:beforeAutospacing="0" w:after="0" w:afterAutospacing="0"/>
        <w:ind w:firstLine="5760"/>
        <w:jc w:val="both"/>
        <w:rPr>
          <w:color w:val="000000"/>
        </w:rPr>
      </w:pPr>
      <w:r w:rsidRPr="00DA0824">
        <w:rPr>
          <w:rStyle w:val="normalchar"/>
          <w:color w:val="000000"/>
          <w:u w:val="single"/>
        </w:rPr>
        <w:t>________________</w:t>
      </w:r>
    </w:p>
    <w:p w14:paraId="041CFF7C" w14:textId="77777777" w:rsidR="007D192A" w:rsidRPr="00DA0824" w:rsidRDefault="007D192A" w:rsidP="007D192A">
      <w:pPr>
        <w:pStyle w:val="Normal1"/>
        <w:spacing w:before="0" w:beforeAutospacing="0" w:after="0" w:afterAutospacing="0"/>
        <w:ind w:firstLine="5760"/>
        <w:jc w:val="both"/>
        <w:rPr>
          <w:color w:val="000000"/>
        </w:rPr>
      </w:pPr>
      <w:proofErr w:type="spellStart"/>
      <w:r w:rsidRPr="00DA0824">
        <w:rPr>
          <w:color w:val="000000"/>
        </w:rPr>
        <w:t>Reg</w:t>
      </w:r>
      <w:proofErr w:type="spellEnd"/>
      <w:r w:rsidRPr="00DA0824">
        <w:rPr>
          <w:color w:val="000000"/>
        </w:rPr>
        <w:t># ___</w:t>
      </w:r>
    </w:p>
    <w:p w14:paraId="6781D784" w14:textId="77777777" w:rsidR="007D192A" w:rsidRPr="00DA0824" w:rsidRDefault="007D192A" w:rsidP="007D192A">
      <w:pPr>
        <w:pStyle w:val="Normal1"/>
        <w:spacing w:before="0" w:beforeAutospacing="0" w:after="0" w:afterAutospacing="0"/>
        <w:rPr>
          <w:color w:val="000000"/>
        </w:rPr>
      </w:pPr>
      <w:r w:rsidRPr="00DA0824">
        <w:rPr>
          <w:color w:val="000000"/>
        </w:rPr>
        <w:t> </w:t>
      </w:r>
    </w:p>
    <w:p w14:paraId="7B35C7E1" w14:textId="77777777" w:rsidR="007D192A" w:rsidRPr="00DA0824" w:rsidRDefault="007D192A" w:rsidP="007D192A">
      <w:pPr>
        <w:pStyle w:val="Normal1"/>
        <w:spacing w:before="0" w:beforeAutospacing="0" w:after="0" w:afterAutospacing="0"/>
        <w:ind w:firstLine="5760"/>
        <w:jc w:val="both"/>
        <w:rPr>
          <w:color w:val="000000"/>
        </w:rPr>
      </w:pPr>
      <w:r w:rsidRPr="00DA0824">
        <w:rPr>
          <w:color w:val="000000"/>
        </w:rPr>
        <w:t>ATTORNEY FOR PLAINTIFF</w:t>
      </w:r>
    </w:p>
    <w:p w14:paraId="5941F647" w14:textId="77777777" w:rsidR="007D192A" w:rsidRPr="00DA0824" w:rsidRDefault="007D192A" w:rsidP="007D192A">
      <w:pPr>
        <w:pStyle w:val="Normal1"/>
        <w:spacing w:before="0" w:beforeAutospacing="0" w:after="0" w:afterAutospacing="0"/>
        <w:ind w:firstLine="5760"/>
        <w:jc w:val="both"/>
        <w:rPr>
          <w:color w:val="000000"/>
        </w:rPr>
      </w:pPr>
      <w:r w:rsidRPr="00DA0824">
        <w:rPr>
          <w:color w:val="000000"/>
        </w:rPr>
        <w:t>OGS TV Inc.</w:t>
      </w:r>
    </w:p>
    <w:p w14:paraId="5291DF3A" w14:textId="77777777" w:rsidR="007D192A" w:rsidRDefault="007D192A" w:rsidP="007D192A">
      <w:pPr>
        <w:pStyle w:val="Normal1"/>
        <w:spacing w:before="0" w:beforeAutospacing="0" w:after="0" w:afterAutospacing="0"/>
        <w:rPr>
          <w:color w:val="000000"/>
        </w:rPr>
      </w:pPr>
      <w:r>
        <w:rPr>
          <w:color w:val="000000"/>
        </w:rPr>
        <w:t> </w:t>
      </w:r>
    </w:p>
    <w:p w14:paraId="412DA151" w14:textId="77777777" w:rsidR="009F6007" w:rsidRPr="00361D86" w:rsidRDefault="009F6007" w:rsidP="007D192A">
      <w:pPr>
        <w:spacing w:line="480" w:lineRule="auto"/>
        <w:rPr>
          <w:rFonts w:ascii="Times New Roman" w:hAnsi="Times New Roman" w:cs="Times New Roman"/>
          <w:b/>
          <w:sz w:val="24"/>
          <w:szCs w:val="24"/>
        </w:rPr>
      </w:pPr>
    </w:p>
    <w:sectPr w:rsidR="009F6007" w:rsidRPr="00361D86" w:rsidSect="00935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7265"/>
    <w:multiLevelType w:val="hybridMultilevel"/>
    <w:tmpl w:val="FFBEDD08"/>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C9174A0"/>
    <w:multiLevelType w:val="hybridMultilevel"/>
    <w:tmpl w:val="F1284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3C7CED"/>
    <w:multiLevelType w:val="hybridMultilevel"/>
    <w:tmpl w:val="B8763F1A"/>
    <w:lvl w:ilvl="0" w:tplc="04090013">
      <w:start w:val="1"/>
      <w:numFmt w:val="upperRoman"/>
      <w:lvlText w:val="%1."/>
      <w:lvlJc w:val="right"/>
      <w:pPr>
        <w:ind w:left="360" w:hanging="360"/>
      </w:pPr>
    </w:lvl>
    <w:lvl w:ilvl="1" w:tplc="04090015">
      <w:start w:val="1"/>
      <w:numFmt w:val="upp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Id. (quoting 1 Nimmer § 5.03[B][2][b] (1994)"/>
    <w:docVar w:name="_CITRUS_JURISDICTION" w:val="Bluebook"/>
    <w:docVar w:name="CITRUS_BOOKMARK1[0]" w:val="&lt;#1&gt;&lt;citation&gt;&lt;citation._original_string&gt;17 U.S.C.A. § 106&lt;/citation._original_string&gt;&lt;citation._current_string&gt;17 U.S.C.A. § 106 (West 2005)&lt;/citation._current_string&gt;&lt;citation._full_string&gt;17 U.S.C.A. §106 (West 2005)&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6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6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6 &lt;/citation.value13&gt;&lt;citation.key14&gt;USCCodeCitation.__SectionOrSections.SectionNumberList.SectionNumberScalarOrRange&lt;/citation.key14&gt;&lt;citation.value14&gt;106 &lt;/citation.value14&gt;&lt;citation.key15&gt;USCCodeCitation.__SectionOrSections.SectionNumberList.SectionNumberScalarOrRange.SectionNumber&lt;/citation.key15&gt;&lt;citation.value15&gt;106&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000000002[0]" w:val="Id. ¶ 9-12"/>
    <w:docVar w:name="CITRUS_BOOKMARK1000000003[0]" w:val="Id. ¶15"/>
    <w:docVar w:name="CITRUS_BOOKMARK1000000004[0]" w:val="Id. ¶14"/>
    <w:docVar w:name="CITRUS_BOOKMARK1000000005[0]" w:val="Id. ¶16,17"/>
    <w:docVar w:name="CITRUS_BOOKMARK1000000006[0]" w:val="Id. ¶21"/>
    <w:docVar w:name="CITRUS_BOOKMARK1000000007[0]" w:val="Id. ¶22"/>
    <w:docVar w:name="CITRUS_BOOKMARK1000000008[0]" w:val="Id. ¶ 24"/>
    <w:docVar w:name="CITRUS_BOOKMARK1000000009[0]" w:val="Id. ¶25"/>
    <w:docVar w:name="CITRUS_BOOKMARK1000000010[0]" w:val="Id. ¶26"/>
    <w:docVar w:name="CITRUS_BOOKMARK1000000011[0]" w:val="Id. ¶27"/>
    <w:docVar w:name="CITRUS_BOOKMARK1000000012[0]" w:val="Id. ¶28,29"/>
    <w:docVar w:name="CITRUS_BOOKMARK1000000013[0]" w:val="Id. ¶31"/>
    <w:docVar w:name="CITRUS_BOOKMARK1000000015[0]" w:val="17 U.S.C.A. § 101"/>
    <w:docVar w:name="CITRUS_BOOKMARK1000000028[0]" w:val="Id. at ¶14"/>
    <w:docVar w:name="CITRUS_BOOKMARK1000000029[0]" w:val="Id. at ¶16"/>
    <w:docVar w:name="CITRUS_BOOKMARK1000000036[0]" w:val="17 U.S.C.A. § 101"/>
    <w:docVar w:name="CITRUS_BOOKMARK1000000039[0]" w:val="17 U.S.C. § 101(2)"/>
    <w:docVar w:name="CITRUS_BOOKMARK1000000040[0]" w:val="29 F.3d 1529, 1532 (11th Cir. 1994)"/>
    <w:docVar w:name="CITRUS_BOOKMARK1000000041[0]" w:val="53 F.3d 549, 559 (2d Cir. 1995)"/>
    <w:docVar w:name="CITRUS_BOOKMARK1000000042[0]" w:val="969 F.2d 410, 412 (7th Cir. 1992)"/>
    <w:docVar w:name="CITRUS_BOOKMARK1000000043[0]" w:val="Id. at 413"/>
    <w:docVar w:name="CITRUS_BOOKMARK14[0]" w:val="&lt;#1&gt;&lt;citation&gt;&lt;citation._original_string&gt;17 U.S.C.A. § 101&lt;/citation._original_string&gt;&lt;citation._current_string&gt;17 U.S.C.A. § 101&lt;/citation._current_string&gt;&lt;citation._full_string&gt;17 U.S.C.A. §101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6[0]" w:val="&lt;#1&gt;&lt;citation&gt;&lt;citation._original_string&gt;17 U.S.C. § 204(a)&lt;/citation._original_string&gt;&lt;citation._current_string&gt;17 U.S.C. § 204(a) (2006)&lt;/citation._current_string&gt;&lt;citation._full_string&gt;17 U.S.C. §204(a)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4(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4(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4(a) &lt;/citation.value13&gt;&lt;citation.key14&gt;USCCodeCitation.__SectionOrSections.SectionNumberList.SectionNumberScalarOrRange&lt;/citation.key14&gt;&lt;citation.value14&gt;204(a) &lt;/citation.value14&gt;&lt;citation.key15&gt;USCCodeCitation.__SectionOrSections.SectionNumberList.SectionNumberScalarOrRange.SectionNumber&lt;/citation.key15&gt;&lt;citation.value15&gt;204(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7[0]" w:val="&lt;#1&gt;&lt;citation&gt;&lt;citation._original_string&gt;Arthur Rutenberg Homes, Inc. v. Drew Homes, Inc., 29 F.3d 1529, 1532 (11th Cir. 1994)&lt;/citation._original_string&gt;&lt;citation._current_string&gt;Arthur Rutenberg Homes, Inc. v. Drew Homes, Inc., 29 F.3d 1529, 1532 (11th Cir. 1994)&lt;/citation._current_string&gt;&lt;citation._full_string&gt;Arthur Rutenberg Homes, Inc. v. Drew Homes,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Drew Homes,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Drew Homes, Inc. &lt;/citation.value5&gt;&lt;citation.key6&gt;CaseName.SecondParty.Party&lt;/citation.key6&gt;&lt;citation.value6&gt;Drew Homes, Inc.&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1529,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8[0]" w:val="&lt;#1&gt;&lt;citation&gt;&lt;citation._original_string&gt;Great S. Homes, Inc. v. Johnson &amp; Thompson Realtors, 797 F. Supp. 609, 612 (M.D. Tenn. 1992)&lt;/citation._original_string&gt;&lt;citation._current_string&gt;Great S. Homes, Inc. v. Johnson &amp; Thompson Realtors, 797 F. Supp. 609, 612 (M.D. Tenn. 1992)&lt;/citation._current_string&gt;&lt;citation._full_string&gt;Great S. Homes, Inc. v. Johnson &amp; Thompson Realtors, 797 F. Supp. 609, 612 (M.D. Tenn. 1992)&lt;/citation._full_string&gt;&lt;citation._current_format&gt;Full.CaseCitation&lt;/citation._current_format&gt;&lt;citation.name&gt;&lt;/citation.name&gt;&lt;citation.key0&gt;,&lt;/citation.key0&gt;&lt;citation.value0&gt;,&lt;/citation.value0&gt;&lt;citation.key1&gt;CaseName&lt;/citation.key1&gt;&lt;citation.value1&gt;Great S. Homes, Inc. v. Johnson &amp; Thompson Realtors &lt;/citation.value1&gt;&lt;citation.key2&gt;CaseName.FirstParty&lt;/citation.key2&gt;&lt;citation.value2&gt;Great S. Homes, Inc. &lt;/citation.value2&gt;&lt;citation.key3&gt;CaseName.FirstParty.Party&lt;/citation.key3&gt;&lt;citation.value3&gt;Great S. Homes, Inc.&lt;/citation.value3&gt;&lt;citation.key4&gt;CaseName.FirstParty._Pattern&lt;/citation.key4&gt;&lt;citation.value4&gt;Party.Party&lt;/citation.value4&gt;&lt;citation.key5&gt;CaseName.SecondParty&lt;/citation.key5&gt;&lt;citation.value5&gt;Johnson &amp; Thompson Realtors &lt;/citation.value5&gt;&lt;citation.key6&gt;CaseName.SecondParty.Party&lt;/citation.key6&gt;&lt;citation.value6&gt;Johnson &amp; Thompson Realtor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M.D. Tenn. 1992) &lt;/citation.value10&gt;&lt;citation.key11&gt;CourtParenthetical.CourtName&lt;/citation.key11&gt;&lt;citation.value11&gt;M.D. Tenn. &lt;/citation.value11&gt;&lt;citation.key12&gt;CourtParenthetical.CourtName.CourtName&lt;/citation.key12&gt;&lt;citation.value12&gt;M.D. Tenn.&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797 F. Supp. 609, 612&lt;/citation.value32&gt;&lt;citation.key33&gt;Reporter.FirstPage&lt;/citation.key33&gt;&lt;citation.value33&gt;609&lt;/citation.value33&gt;&lt;citation.key34&gt;Reporter.Name&lt;/citation.key34&gt;&lt;citation.value34&gt;F. Supp.&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797&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612&lt;/citation.value42&gt;&lt;citation.key43&gt;Reporter.__PinPages.First&lt;/citation.key43&gt;&lt;citation.value43&gt;612&lt;/citation.value43&gt;&lt;citation.key44&gt;Reporter.__PinPages.First._Pattern&lt;/citation.key44&gt;&lt;citation.value44&gt;FirstPageInRange.FirstPageInRange&lt;/citation.value44&gt;&lt;citation.key45&gt;Reporter.__PinPages.First.__PageNumber&lt;/citation.key45&gt;&lt;citation.value45&gt;612&lt;/citation.value45&gt;&lt;citation.key46&gt;Reporter.__PinPages._Pattern&lt;/citation.key46&gt;&lt;citation.value46&gt;PinPages.PinPages&lt;/citation.value46&gt;&lt;citation.key47&gt;Reporter.page&lt;/citation.key47&gt;&lt;citation.value47&gt;page&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19[0]" w:val="&lt;#1&gt;&lt;citation&gt;&lt;citation._original_string&gt;Playboy Enterprises, Inc. v. Dumas, 53 F.3d 549, 562 (2d Cir. 1995)&lt;/citation._original_string&gt;&lt;citation._current_string&gt;Playboy Enters. v. Dumas, 53 F.3d 549, 562 (2d Cir. 1995)&lt;/citation._current_string&gt;&lt;citation._full_string&gt;Playboy Enters. v. Dumas, 53 F.3d 549, 562 (2d Cir. 1995)&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prises, Inc.&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2d Cir. 1995)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5 &lt;/citation.value14&gt;&lt;citation.key15&gt;CourtParenthetical.Date.Year&lt;/citation.key15&gt;&lt;citation.value15&gt;1995 &lt;/citation.value15&gt;&lt;citation.key16&gt;CourtParenthetical.Date.Year.Year&lt;/citation.key16&gt;&lt;citation.value16&gt;199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549, 562&lt;/citation.value32&gt;&lt;citation.key33&gt;Reporter.FirstPage&lt;/citation.key33&gt;&lt;citation.value33&gt;54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53&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562&lt;/citation.value42&gt;&lt;citation.key43&gt;Reporter.__PinPages.First&lt;/citation.key43&gt;&lt;citation.value43&gt;562&lt;/citation.value43&gt;&lt;citation.key44&gt;Reporter.__PinPages.First._Pattern&lt;/citation.key44&gt;&lt;citation.value44&gt;FirstPageInRange.FirstPageInRange&lt;/citation.value44&gt;&lt;citation.key45&gt;Reporter.__PinPages.First.__PageNumber&lt;/citation.key45&gt;&lt;citation.value45&gt;562&lt;/citation.value45&gt;&lt;citation.key46&gt;Reporter.__PinPages._Pattern&lt;/citation.key46&gt;&lt;citation.value46&gt;PinPages.PinPages&lt;/citation.value46&gt;&lt;citation.key47&gt;Reporter.page&lt;/citation.key47&gt;&lt;citation.value47&gt;page&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20[0]" w:val="&lt;#1&gt;&lt;citation&gt;&lt;citation._original_string&gt;17 U.S.C.A. § 101&lt;/citation._original_string&gt;&lt;citation._current_string&gt;17 U.S.C.A. § 101&lt;/citation._current_string&gt;&lt;citation._full_string&gt;17 U.S.C.A. §101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1[0]" w:val="&lt;#1&gt;&lt;citation&gt;&lt;citation._original_string&gt;17 U.S.C.A. § 101&lt;/citation._original_string&gt;&lt;citation._current_string&gt;Id.&lt;/citation._current_string&gt;&lt;citation._full_string&gt;17 U.S.C.A. §101 (West 2005)&lt;/citation._full_string&gt;&lt;citation._current_format&gt;Id.USCU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2[0]" w:val="&lt;#1&gt;&lt;citation&gt;&lt;citation._original_string&gt;17 U.S.C.A. § 201&lt;/citation._original_string&gt;&lt;citation._current_string&gt;17 U.S.C.A. § 201&lt;/citation._current_string&gt;&lt;citation._full_string&gt;17 U.S.C.A. §201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2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 &lt;/citation.value13&gt;&lt;citation.key14&gt;USCCodeCitation.__SectionOrSections.SectionNumberList.SectionNumberScalarOrRange&lt;/citation.key14&gt;&lt;citation.value14&gt;201 &lt;/citation.value14&gt;&lt;citation.key15&gt;USCCodeCitation.__SectionOrSections.SectionNumberList.SectionNumberScalarOrRange.SectionNumber&lt;/citation.key15&gt;&lt;citation.value15&gt;2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3[0]" w:val="&lt;#1&gt;&lt;citation&gt;&lt;citation._original_string&gt;Arthur Rutenberg Homes, Inc. v. Drew Homes, Inc., 29 F.3d 1529, 1532 (11th Cir. 1994)&lt;/citation._original_string&gt;&lt;citation._current_string&gt;Arthur Rutenberg Homes, Inc. v. Drew Homes, Inc., 29 F.3d 1529, 1532 (11th Cir. 1994)&lt;/citation._current_string&gt;&lt;citation._full_string&gt;Arthur Rutenberg Homes, Inc. v. Drew Homes,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Drew Homes,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Drew Homes, Inc. &lt;/citation.value5&gt;&lt;citation.key6&gt;CaseName.SecondParty.Party&lt;/citation.key6&gt;&lt;citation.value6&gt;Drew Homes, Inc.&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1529,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24[0]" w:val="&lt;#1&gt;&lt;citation&gt;&lt;citation._original_string&gt;17 U.S.C.A. § 102&lt;/citation._original_string&gt;&lt;citation._current_string&gt;17 U.S.C.A. § 102&lt;/citation._current_string&gt;&lt;citation._full_string&gt;17 U.S.C.A. §102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2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2 &lt;/citation.value13&gt;&lt;citation.key14&gt;USCCodeCitation.__SectionOrSections.SectionNumberList.SectionNumberScalarOrRange&lt;/citation.key14&gt;&lt;citation.value14&gt;102 &lt;/citation.value14&gt;&lt;citation.key15&gt;USCCodeCitation.__SectionOrSections.SectionNumberList.SectionNumberScalarOrRange.SectionNumber&lt;/citation.key15&gt;&lt;citation.value15&gt;102&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25[0]" w:val="&lt;#1&gt;&lt;citation&gt;&lt;citation._original_string&gt;17 U.S.C.A. §§ 101, 106 (2)&lt;/citation._original_string&gt;&lt;citation._current_string&gt;Id. §§ 101, 106 (2)&lt;/citation._current_string&gt;&lt;citation._full_string&gt;17 U.S.C.A. §§101, 106 (2) (West 2005)&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106 (2)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106 (2)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106 (2) &lt;/citation.value13&gt;&lt;citation.key14&gt;USCCodeCitation.__SectionOrSections.SectionNumberList.,&lt;/citation.key14&gt;&lt;citation.value14&gt;,&lt;/citation.value14&gt;&lt;citation.key15&gt;USCCodeCitation.__SectionOrSections.SectionNumberList.SectionNumberList&lt;/citation.key15&gt;&lt;citation.value15&gt;106 (2) &lt;/citation.value15&gt;&lt;citation.key16&gt;USCCodeCitation.__SectionOrSections.SectionNumberList.SectionNumberList.SectionNumberScalarOrRange&lt;/citation.key16&gt;&lt;citation.value16&gt;106 (2) &lt;/citation.value16&gt;&lt;citation.key17&gt;USCCodeCitation.__SectionOrSections.SectionNumberList.SectionNumberList.SectionNumberScalarOrRange.SectionNumber&lt;/citation.key17&gt;&lt;citation.value17&gt;106 (2)&lt;/citation.value17&gt;&lt;citation.key18&gt;USCCodeCitation.__SectionOrSections.SectionNumberList.SectionNumberList.SectionNumberScalarOrRange._Pattern&lt;/citation.key18&gt;&lt;citation.value18&gt;SectionNumberScalarOrRange2.SectionNumberScalarOrRange2&lt;/citation.value18&gt;&lt;citation.key19&gt;USCCodeCitation.__SectionOrSections.SectionNumberList.SectionNumberList._Pattern&lt;/citation.key19&gt;&lt;citation.value19&gt;SectionNumberList2.SectionNumberList2&lt;/citation.value19&gt;&lt;citation.key20&gt;USCCodeCitation.__SectionOrSections.SectionNumberList.SectionNumberScalarOrRange&lt;/citation.key20&gt;&lt;citation.value20&gt;101 &lt;/citation.value20&gt;&lt;citation.key21&gt;USCCodeCitation.__SectionOrSections.SectionNumberList.SectionNumberScalarOrRange.SectionNumber&lt;/citation.key21&gt;&lt;citation.value21&gt;101&lt;/citation.value21&gt;&lt;citation.key22&gt;USCCodeCitation.__SectionOrSections.SectionNumberList.SectionNumberScalarOrRange._Pattern&lt;/citation.key22&gt;&lt;citation.value22&gt;SectionNumberScalarOrRange.SectionNumberScalarOrRange&lt;/citation.value22&gt;&lt;citation.key23&gt;USCCodeCitation.__SectionOrSections.SectionNumberList._Pattern&lt;/citation.key23&gt;&lt;citation.value23&gt;SectionNumberList.SectionNumberList&lt;/citation.value23&gt;&lt;citation.key24&gt;USCCodeCitation.__SectionOrSections._Pattern&lt;/citation.key24&gt;&lt;citation.value24&gt;SectionOrSections.SectionOrSections&lt;/citation.value24&gt;&lt;citation.key25&gt;__AfterStatutoryCite&lt;/citation.key25&gt;&lt;citation.value25&gt; (West 2005)&lt;/citation.value25&gt;&lt;citation.key26&gt;__AfterStatutoryCite.StatutoryCodeEditionCite&lt;/citation.key26&gt;&lt;citation.value26&gt;(2005)&lt;/citation.value26&gt;&lt;citation.key27&gt;__AfterStatutoryCite.StatutoryCodeEditionCite.(&lt;/citation.key27&gt;&lt;citation.value27&gt;(&lt;/citation.value27&gt;&lt;citation.key28&gt;__AfterStatutoryCite.StatutoryCodeEditionCite.)&lt;/citation.key28&gt;&lt;citation.value28&gt;)&lt;/citation.value28&gt;&lt;citation.key29&gt;__AfterStatutoryCite.StatutoryCodeEditionCite.StatutoryCodeEdition&lt;/citation.key29&gt;&lt;citation.value29&gt;2005&lt;/citation.value29&gt;&lt;citation.key30&gt;__AfterStatutoryCite.StatutoryCodeEditionCite.StatutoryCodeEdition.Publisher&lt;/citation.key30&gt;&lt;citation.value30&gt;West&lt;/citation.value30&gt;&lt;citation.key31&gt;__AfterStatutoryCite.StatutoryCodeEditionCite.StatutoryCodeEdition.Year&lt;/citation.key31&gt;&lt;citation.value31&gt;2005&lt;/citation.value31&gt;&lt;citation.key32&gt;__AfterStatutoryCite.StatutoryCodeEditionCite.StatutoryCodeEdition.Year.Year&lt;/citation.key32&gt;&lt;citation.value32&gt;2005&lt;/citation.value32&gt;&lt;citation.key33&gt;__AfterStatutoryCite.StatutoryCodeEditionCite.StatutoryCodeEdition.Year._Pattern&lt;/citation.key33&gt;&lt;citation.value33&gt;Year.Year&lt;/citation.value33&gt;&lt;citation.key34&gt;__AfterStatutoryCite.StatutoryCodeEditionCite.StatutoryCodeEdition._Pattern&lt;/citation.key34&gt;&lt;citation.value34&gt;StatutoryCodeEdition.StatutoryCodeEdition&lt;/citation.value34&gt;&lt;citation.key35&gt;__AfterStatutoryCite.StatutoryCodeEditionCite._Pattern&lt;/citation.key35&gt;&lt;citation.value35&gt;StatutoryCodeEditionCite.StatutoryCodeEditionCite&lt;/citation.value35&gt;&lt;citation.key36&gt;__AfterStatutoryCite._Pattern&lt;/citation.key36&gt;&lt;citation.value36&gt;AfterStatutoryCite.AfterStatutoryCite&lt;/citation.value36&gt;&lt;/citation&gt;_x000a_"/>
    <w:docVar w:name="CITRUS_BOOKMARK26[0]" w:val="&lt;#1&gt;&lt;citation&gt;&lt;citation._original_string&gt;Incredible Technologies, Inc. v. Virtual Tech. Inc., 400 F.3d 1007,1011 (7th Cir. 2005)&lt;/citation._original_string&gt;&lt;citation._current_string&gt;Incredible Techs., Inc. v. Virtual Techs., Inc., 400 F.3d 1007, 1011 (7th Cir. 2005)&lt;/citation._current_string&gt;&lt;citation._full_string&gt;Incredible Techs., Inc. v. Virtual Techs., Inc., 400 F.3d 1007, 1011 (7th Cir. 2005)&lt;/citation._full_string&gt;&lt;citation._current_format&gt;Full.CaseCitation&lt;/citation._current_format&gt;&lt;citation.name&gt;&lt;/citation.name&gt;&lt;citation.key0&gt;,&lt;/citation.key0&gt;&lt;citation.value0&gt;,&lt;/citation.value0&gt;&lt;citation.key1&gt;CaseName.FirstParty&lt;/citation.key1&gt;&lt;citation.value1&gt;Incredible Techs., Inc.&lt;/citation.value1&gt;&lt;citation.key2&gt;CaseName.FirstParty.Party&lt;/citation.key2&gt;&lt;citation.value2&gt;Incredible Techs., Inc.&lt;/citation.value2&gt;&lt;citation.key3&gt;CaseName.FirstParty._Pattern&lt;/citation.key3&gt;&lt;citation.value3&gt;Party.Party&lt;/citation.value3&gt;&lt;citation.key4&gt;CaseName.SecondParty&lt;/citation.key4&gt;&lt;citation.value4&gt;Virtual Techs., Inc.&lt;/citation.value4&gt;&lt;citation.key5&gt;CaseName.SecondParty.Party&lt;/citation.key5&gt;&lt;citation.value5&gt;Virtual Techs.,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2005)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2005&lt;/citation.value12&gt;&lt;citation.key13&gt;CourtParenthetical.Date.Year.Year&lt;/citation.key13&gt;&lt;citation.value13&gt;200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00 F.3d 1007, 1011&lt;/citation.value30&gt;&lt;citation.key31&gt;Reporter.FirstPage&lt;/citation.key31&gt;&lt;citation.value31&gt;1007&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00&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1011&lt;/citation.value40&gt;&lt;citation.key41&gt;Reporter.__PinPages.First&lt;/citation.key41&gt;&lt;citation.value41&gt;1011&lt;/citation.value41&gt;&lt;citation.key42&gt;Reporter.__PinPages.First._Pattern&lt;/citation.key42&gt;&lt;citation.value42&gt;FirstPageInRange.FirstPageInRange&lt;/citation.value42&gt;&lt;citation.key43&gt;Reporter.__PinPages.First.__PageNumber&lt;/citation.key43&gt;&lt;citation.value43&gt;1011&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27[0]" w:val="&lt;#1&gt;&lt;citation&gt;&lt;citation._original_string&gt;17 U.S.C.A. § 302 (c)&lt;/citation._original_string&gt;&lt;citation._current_string&gt;17 U.S.C.A. § 302 (c)&lt;/citation._current_string&gt;&lt;citation._full_string&gt;17 U.S.C.A. §302 (c) (West 2005)&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302 (c)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302 (c)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302 (c) &lt;/citation.value13&gt;&lt;citation.key14&gt;USCCodeCitation.__SectionOrSections.SectionNumberList.SectionNumberScalarOrRange&lt;/citation.key14&gt;&lt;citation.value14&gt;302 (c) &lt;/citation.value14&gt;&lt;citation.key15&gt;USCCodeCitation.__SectionOrSections.SectionNumberList.SectionNumberScalarOrRange.SectionNumber&lt;/citation.key15&gt;&lt;citation.value15&gt;302 (c)&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05)&lt;/citation.value19&gt;&lt;citation.key20&gt;__AfterStatutoryCite.StatutoryCodeEditionCite&lt;/citation.key20&gt;&lt;citation.value20&gt;(2005)&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5&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05&lt;/citation.value25&gt;&lt;citation.key26&gt;__AfterStatutoryCite.StatutoryCodeEditionCite.StatutoryCodeEdition.Year.Year&lt;/citation.key26&gt;&lt;citation.value26&gt;2005&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0[0]" w:val="&lt;#1&gt;&lt;citation&gt;&lt;citation._original_string&gt;29 F.3d 1529, 1532 (11th Cir. 1994)&lt;/citation._original_string&gt;&lt;citation._current_string&gt;Arthur Rutenberg Homes, Inc. v. Drew Homes, Inc., 29 F.3d 1529, 1532 (11th Cir. 1994)&lt;/citation._current_string&gt;&lt;citation._full_string&gt;Arthur Rutenberg Homes, Inc. v. Drew Homes,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Drew Homes,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Drew Homes, Inc. &lt;/citation.value5&gt;&lt;citation.key6&gt;CaseName.SecondParty.Party&lt;/citation.key6&gt;&lt;citation.value6&gt;Drew Homes, Inc.&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1529,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31[0]" w:val="&lt;#1&gt;&lt;citation&gt;&lt;citation._original_string&gt;29 F.3d 1529, 1532 (11th Cir. 1994)&lt;/citation._original_string&gt;&lt;citation._current_string&gt;Arthur Rutenberg Homes, Inc. v. Drew Homes, Inc., 29 F.3d 1529, 1532 (11th Cir. 1994)&lt;/citation._current_string&gt;&lt;citation._full_string&gt;Arthur Rutenberg Homes, Inc. v. Drew Homes,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Drew Homes,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Drew Homes, Inc. &lt;/citation.value5&gt;&lt;citation.key6&gt;CaseName.SecondParty.Party&lt;/citation.key6&gt;&lt;citation.value6&gt;Drew Homes, Inc.&lt;/citation.value6&gt;&lt;citation.key7&gt;CaseName.SecondParty._Pattern&lt;/citation.key7&gt;&lt;citation.value7&gt;Party.Party&lt;/citation.value7&gt;&lt;citation.key8&gt;CaseName._Pattern&lt;/citation.key8&gt;&lt;citation.value8&gt;CaseName.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1529,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Reporter.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32[0]" w:val="&lt;#1&gt;&lt;citation&gt;&lt;citation._original_string&gt;Arthur Rutenberg Homes, Inc. v. Dremes, Inc., 29 F.3d 1529, 1532 (11th Cir. 1994)&lt;/citation._original_string&gt;&lt;citation._current_string&gt;Arthur Rutenberg Homes, Inc. v. Dremes, Inc., 29 F.3d 1529, 1532 (11th Cir. 1994)&lt;/citation._current_string&gt;&lt;citation._full_string&gt;Arthur Rutenberg Homes, Inc. v. Dremes,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Dremes,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Dremes, Inc. &lt;/citation.value5&gt;&lt;citation.key6&gt;CaseName.SecondParty.Party&lt;/citation.key6&gt;&lt;citation.value6&gt;Dremes,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at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33[0]" w:val="&lt;#1&gt;&lt;citation&gt;&lt;citation._original_string&gt;Arthur Rutenberg Homes, Inc. v. Inc., 29 F.3d 1529, 1532 (11th Cir. 1994)&lt;/citation._original_string&gt;&lt;citation._current_string&gt;Arthur Rutenberg Homes, Inc. v. Inc., 29 F.3d 1529, 1532 (11th Cir. 1994)&lt;/citation._current_string&gt;&lt;citation._full_string&gt;Arthur Rutenberg Homes, Inc. v.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Inc. &lt;/citation.value5&gt;&lt;citation.key6&gt;CaseName.SecondParty.Party&lt;/citation.key6&gt;&lt;citation.value6&gt;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at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34[0]" w:val="&lt;#1&gt;&lt;citation&gt;&lt;citation._original_string&gt;29 F.3d 1529, 1532 (11th Cir. 1994)&lt;/citation._original_string&gt;&lt;citation._current_string&gt;Arthur Rutenberg Homes, Inc. v. Inc., 29 F.3d 1529, 1532 (11th Cir. 1994)&lt;/citation._current_string&gt;&lt;citation._full_string&gt;Arthur Rutenberg Homes, Inc. v. Inc., 29 F.3d 1529, 1532 (11th Cir. 1994)&lt;/citation._full_string&gt;&lt;citation._current_format&gt;Full.CaseCitation&lt;/citation._current_format&gt;&lt;citation.name&gt;&lt;/citation.name&gt;&lt;citation.key0&gt;CaseName&lt;/citation.key0&gt;&lt;citation.value0&gt;Arthur Rutenberg Homes, Inc. v. Inc. &lt;/citation.value0&gt;&lt;citation.key1&gt;CaseName.FirstParty&lt;/citation.key1&gt;&lt;citation.value1&gt;Arthur Rutenberg Homes, Inc. &lt;/citation.value1&gt;&lt;citation.key2&gt;CaseName.FirstParty.Party&lt;/citation.key2&gt;&lt;citation.value2&gt;Arthur Rutenberg Homes, Inc.&lt;/citation.value2&gt;&lt;citation.key3&gt;CaseName.FirstParty._Pattern&lt;/citation.key3&gt;&lt;citation.value3&gt;Party.Party&lt;/citation.value3&gt;&lt;citation.key4&gt;CaseName.SecondParty&lt;/citation.key4&gt;&lt;citation.value4&gt;Inc. &lt;/citation.value4&gt;&lt;citation.key5&gt;CaseName.SecondParty.Party&lt;/citation.key5&gt;&lt;citation.value5&gt;Inc.&lt;/citation.value5&gt;&lt;citation.key6&gt;CaseName.SecondParty._Pattern&lt;/citation.key6&gt;&lt;citation.value6&gt;Party.Party&lt;/citation.value6&gt;&lt;citation.key7&gt;CaseName._Pattern&lt;/citation.key7&gt;&lt;citation.value7&gt;ShortCaseName.ShortCaseName&lt;/citation.value7&gt;&lt;citation.key8&gt;CaseName.v&lt;/citation.key8&gt;&lt;citation.value8&gt;v.&lt;/citation.value8&gt;&lt;citation.key9&gt;CourtParenthetical&lt;/citation.key9&gt;&lt;citation.value9&gt; (11th Cir. 1994) &lt;/citation.value9&gt;&lt;citation.key10&gt;CourtParenthetical.CourtName&lt;/citation.key10&gt;&lt;citation.value10&gt;11th Cir. &lt;/citation.value10&gt;&lt;citation.key11&gt;CourtParenthetical.CourtName.CourtName&lt;/citation.key11&gt;&lt;citation.value11&gt;11th Cir.&lt;/citation.value11&gt;&lt;citation.key12&gt;CourtParenthetical.CourtName._Pattern&lt;/citation.key12&gt;&lt;citation.value12&gt;CourtName.CourtName&lt;/citation.value12&gt;&lt;citation.key13&gt;CourtParenthetical.Date&lt;/citation.key13&gt;&lt;citation.value13&gt;1994 &lt;/citation.value13&gt;&lt;citation.key14&gt;CourtParenthetical.Date.Year&lt;/citation.key14&gt;&lt;citation.value14&gt;1994 &lt;/citation.value14&gt;&lt;citation.key15&gt;CourtParenthetical.Date.Year.Year&lt;/citation.key15&gt;&lt;citation.value15&gt;1994&lt;/citation.value15&gt;&lt;citation.key16&gt;CourtParenthetical.Date.Year._Pattern&lt;/citation.key16&gt;&lt;citation.value16&gt;Year.Year&lt;/citation.value16&gt;&lt;citation.key17&gt;CourtParenthetical.Date._Pattern&lt;/citation.key17&gt;&lt;citation.value17&gt;Date.Date&lt;/citation.value17&gt;&lt;citation.key18&gt;CourtParenthetical.ForbiddenComma._Pattern&lt;/citation.key18&gt;&lt;citation.value18&gt;ForbiddenComma.ForbiddenComma&lt;/citation.value18&gt;&lt;citation.key19&gt;CourtParenthetical.Switch ( [ L&lt;/citation.key19&gt;&lt;citation.value19&gt; (&lt;/citation.value19&gt;&lt;citation.key20&gt;CourtParenthetical.Switch ( [ L.(&lt;/citation.key20&gt;&lt;citation.value20&gt;(&lt;/citation.value20&gt;&lt;citation.key21&gt;CourtParenthetical.Switch ( [ L._Pattern&lt;/citation.key21&gt;&lt;citation.value21&gt;Switch ( [ L.Switch ( [ L&lt;/citation.value21&gt;&lt;citation.key22&gt;CourtParenthetical.Switch ) ] R&lt;/citation.key22&gt;&lt;citation.value22&gt;) &lt;/citation.value22&gt;&lt;citation.key23&gt;CourtParenthetical.Switch ) ] R.)&lt;/citation.key23&gt;&lt;citation.value23&gt;)&lt;/citation.value23&gt;&lt;citation.key24&gt;CourtParenthetical.Switch ) ] R._Pattern&lt;/citation.key24&gt;&lt;citation.value24&gt;Switch ) ] R.Switch ) ] R&lt;/citation.value24&gt;&lt;citation.key25&gt;CourtParenthetical._Pattern&lt;/citation.key25&gt;&lt;citation.value25&gt;CourtParenthetical.CourtParenthetical&lt;/citation.value25&gt;&lt;citation.key26&gt;Id&lt;/citation.key26&gt;&lt;citation.value26&gt;Id. &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Reporter&lt;/citation.key31&gt;&lt;citation.value31&gt;29 F.3d at 1532&lt;/citation.value31&gt;&lt;citation.key32&gt;Reporter.FirstPage&lt;/citation.key32&gt;&lt;citation.value32&gt;1529&lt;/citation.value32&gt;&lt;citation.key33&gt;Reporter.Name&lt;/citation.key33&gt;&lt;citation.value33&gt;F.3d&lt;/citation.value33&gt;&lt;citation.key34&gt;Reporter.RequiredComma&lt;/citation.key34&gt;&lt;citation.value34&gt;, &lt;/citation.value34&gt;&lt;citation.key35&gt;Reporter.RequiredComma.Comma&lt;/citation.key35&gt;&lt;citation.value35&gt;,&lt;/citation.value35&gt;&lt;citation.key36&gt;Reporter.RequiredComma._Pattern&lt;/citation.key36&gt;&lt;citation.value36&gt;RequiredComma.RequiredComma&lt;/citation.value36&gt;&lt;citation.key37&gt;Reporter.Volume&lt;/citation.key37&gt;&lt;citation.value37&gt;29&lt;/citation.value37&gt;&lt;citation.key38&gt;Reporter.[&lt;/citation.key38&gt;&lt;citation.value38&gt;[&lt;/citation.value38&gt;&lt;citation.key39&gt;Reporter.]&lt;/citation.key39&gt;&lt;citation.value39&gt;]&lt;/citation.value39&gt;&lt;citation.key40&gt;Reporter._Pattern&lt;/citation.key40&gt;&lt;citation.value40&gt;ShortReporter.ShortReporter&lt;/citation.value40&gt;&lt;citation.key41&gt;Reporter.__PinPages&lt;/citation.key41&gt;&lt;citation.value41&gt;1532&lt;/citation.value41&gt;&lt;citation.key42&gt;Reporter.__PinPages.First&lt;/citation.key42&gt;&lt;citation.value42&gt;1532&lt;/citation.value42&gt;&lt;citation.key43&gt;Reporter.__PinPages.First._Pattern&lt;/citation.key43&gt;&lt;citation.value43&gt;FirstPageInRange.FirstPageInRange&lt;/citation.value43&gt;&lt;citation.key44&gt;Reporter.__PinPages.First.__PageNumber&lt;/citation.key44&gt;&lt;citation.value44&gt;1532&lt;/citation.value44&gt;&lt;citation.key45&gt;Reporter.__PinPages._Pattern&lt;/citation.key45&gt;&lt;citation.value45&gt;PinPages.PinPages&lt;/citation.value45&gt;&lt;citation.key46&gt;Reporter.page&lt;/citation.key46&gt;&lt;citation.value46&gt;page&lt;/citation.value46&gt;&lt;citation.key47&gt;RequiredComma&lt;/citation.key47&gt;&lt;citation.value47&gt;, &lt;/citation.value47&gt;&lt;citation.key48&gt;RequiredComma.Comma&lt;/citation.key48&gt;&lt;citation.value48&gt;,&lt;/citation.value48&gt;&lt;citation.key49&gt;RequiredComma._Pattern&lt;/citation.key49&gt;&lt;citation.value49&gt;RequiredComma.RequiredComma&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gt;_x000a_"/>
    <w:docVar w:name="CITRUS_BOOKMARK35[0]" w:val="&lt;#1&gt;&lt;citation&gt;&lt;citation._original_string&gt;Arthur Rutenberg Homes, Inc. v. Inc., 29 F.3d 1529, 1532 (11th Cir. 1994)&lt;/citation._original_string&gt;&lt;citation._current_string&gt;Arthur Rutenberg Homes, Inc. v. Inc., 29 F.3d 1529, 1532 (11th Cir. 1994)&lt;/citation._current_string&gt;&lt;citation._full_string&gt;Arthur Rutenberg Homes, Inc. v. Inc., 29 F.3d 1529, 1532 (11th Cir. 1994)&lt;/citation._full_string&gt;&lt;citation._current_format&gt;Full.CaseCitation&lt;/citation._current_format&gt;&lt;citation.name&gt;&lt;/citation.name&gt;&lt;citation.key0&gt;,&lt;/citation.key0&gt;&lt;citation.value0&gt;,&lt;/citation.value0&gt;&lt;citation.key1&gt;CaseName&lt;/citation.key1&gt;&lt;citation.value1&gt;Arthur Rutenberg Homes, Inc. v. Inc. &lt;/citation.value1&gt;&lt;citation.key2&gt;CaseName.FirstParty&lt;/citation.key2&gt;&lt;citation.value2&gt;Arthur Rutenberg Homes, Inc. &lt;/citation.value2&gt;&lt;citation.key3&gt;CaseName.FirstParty.Party&lt;/citation.key3&gt;&lt;citation.value3&gt;Arthur Rutenberg Homes, Inc.&lt;/citation.value3&gt;&lt;citation.key4&gt;CaseName.FirstParty._Pattern&lt;/citation.key4&gt;&lt;citation.value4&gt;Party.Party&lt;/citation.value4&gt;&lt;citation.key5&gt;CaseName.SecondParty&lt;/citation.key5&gt;&lt;citation.value5&gt;Inc. &lt;/citation.value5&gt;&lt;citation.key6&gt;CaseName.SecondParty.Party&lt;/citation.key6&gt;&lt;citation.value6&gt;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1th Cir. 1994) &lt;/citation.value10&gt;&lt;citation.key11&gt;CourtParenthetical.CourtName&lt;/citation.key11&gt;&lt;citation.value11&gt;11th Cir. &lt;/citation.value11&gt;&lt;citation.key12&gt;CourtParenthetical.CourtName.CourtName&lt;/citation.key12&gt;&lt;citation.value12&gt;11th Cir.&lt;/citation.value12&gt;&lt;citation.key13&gt;CourtParenthetical.CourtName._Pattern&lt;/citation.key13&gt;&lt;citation.value13&gt;CourtName.CourtName&lt;/citation.value13&gt;&lt;citation.key14&gt;CourtParenthetical.Date&lt;/citation.key14&gt;&lt;citation.value14&gt;1994 &lt;/citation.value14&gt;&lt;citation.key15&gt;CourtParenthetical.Date.Year&lt;/citation.key15&gt;&lt;citation.value15&gt;1994 &lt;/citation.value15&gt;&lt;citation.key16&gt;CourtParenthetical.Date.Year.Year&lt;/citation.key16&gt;&lt;citation.value16&gt;1994&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9 F.3d at 1532&lt;/citation.value32&gt;&lt;citation.key33&gt;Reporter.FirstPage&lt;/citation.key33&gt;&lt;citation.value33&gt;1529&lt;/citation.value33&gt;&lt;citation.key34&gt;Reporter.Name&lt;/citation.key34&gt;&lt;citation.value34&gt;F.3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1532&lt;/citation.value42&gt;&lt;citation.key43&gt;Reporter.__PinPages.First&lt;/citation.key43&gt;&lt;citation.value43&gt;1532&lt;/citation.value43&gt;&lt;citation.key44&gt;Reporter.__PinPages.First._Pattern&lt;/citation.key44&gt;&lt;citation.value44&gt;FirstPageInRange.FirstPageInRange&lt;/citation.value44&gt;&lt;citation.key45&gt;Reporter.__PinPages.First.__PageNumber&lt;/citation.key45&gt;&lt;citation.value45&gt;153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37[0]" w:val="&lt;#1&gt;&lt;citation&gt;&lt;citation._original_string&gt;17 U.S.C. § 204(a) (2006)&lt;/citation._original_string&gt;&lt;citation._current_string&gt;17 U.S.C. § 204(a) (2006)&lt;/citation._current_string&gt;&lt;citation._full_string&gt;17 U.S.C. §204(a)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4(a)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4(a)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4(a) &lt;/citation.value13&gt;&lt;citation.key14&gt;USCCodeCitation.__SectionOrSections.SectionNumberList.SectionNumberScalarOrRange&lt;/citation.key14&gt;&lt;citation.value14&gt;204(a) &lt;/citation.value14&gt;&lt;citation.key15&gt;USCCodeCitation.__SectionOrSections.SectionNumberList.SectionNumberScalarOrRange.SectionNumber&lt;/citation.key15&gt;&lt;citation.value15&gt;204(a)&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 (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 &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 &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38[0]" w:val="&lt;#1&gt;&lt;citation&gt;&lt;citation._original_string&gt;Great S. Homes, Inc. v. Johnson &amp; Thompson Realtors, 797 F. Supp. 609, 612 (M.D. Tenn. 1992)&lt;/citation._original_string&gt;&lt;citation._current_string&gt;Great S. Homes, Inc. v. Johnson &amp; Thompson Realtors, 797 F. Supp. 609, 612 (M.D. Tenn. 1992)&lt;/citation._current_string&gt;&lt;citation._full_string&gt;Great S. Homes, Inc. v. Johnson &amp; Thompson Realtors, 797 F. Supp. 609, 612 (M.D. Tenn. 1992)&lt;/citation._full_string&gt;&lt;citation._current_format&gt;Full.CaseCitation&lt;/citation._current_format&gt;&lt;citation.name&gt;&lt;/citation.name&gt;&lt;citation.key0&gt;,&lt;/citation.key0&gt;&lt;citation.value0&gt;,&lt;/citation.value0&gt;&lt;citation.key1&gt;CaseName&lt;/citation.key1&gt;&lt;citation.value1&gt;Great S. Homes, Inc. v. Johnson &amp; Thompson Realtors &lt;/citation.value1&gt;&lt;citation.key2&gt;CaseName.FirstParty&lt;/citation.key2&gt;&lt;citation.value2&gt;Great S. Homes, Inc. &lt;/citation.value2&gt;&lt;citation.key3&gt;CaseName.FirstParty.Party&lt;/citation.key3&gt;&lt;citation.value3&gt;Great S. Homes, Inc.&lt;/citation.value3&gt;&lt;citation.key4&gt;CaseName.FirstParty._Pattern&lt;/citation.key4&gt;&lt;citation.value4&gt;Party.Party&lt;/citation.value4&gt;&lt;citation.key5&gt;CaseName.SecondParty&lt;/citation.key5&gt;&lt;citation.value5&gt;Johnson &amp; Thompson Realtors &lt;/citation.value5&gt;&lt;citation.key6&gt;CaseName.SecondParty.Party&lt;/citation.key6&gt;&lt;citation.value6&gt;Johnson &amp; Thompson Realtor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M.D. Tenn. 1992) &lt;/citation.value10&gt;&lt;citation.key11&gt;CourtParenthetical.CourtName&lt;/citation.key11&gt;&lt;citation.value11&gt;M.D. Tenn. &lt;/citation.value11&gt;&lt;citation.key12&gt;CourtParenthetical.CourtName.CourtName&lt;/citation.key12&gt;&lt;citation.value12&gt;M.D. Tenn.&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797 F. Supp. at 612&lt;/citation.value32&gt;&lt;citation.key33&gt;Reporter.FirstPage&lt;/citation.key33&gt;&lt;citation.value33&gt;609&lt;/citation.value33&gt;&lt;citation.key34&gt;Reporter.Name&lt;/citation.key34&gt;&lt;citation.value34&gt;F. Supp.&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797&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612&lt;/citation.value42&gt;&lt;citation.key43&gt;Reporter.__PinPages.First&lt;/citation.key43&gt;&lt;citation.value43&gt;612&lt;/citation.value43&gt;&lt;citation.key44&gt;Reporter.__PinPages.First._Pattern&lt;/citation.key44&gt;&lt;citation.value44&gt;FirstPageInRange.FirstPageInRange&lt;/citation.value44&gt;&lt;citation.key45&gt;Reporter.__PinPages.First.__PageNumber&lt;/citation.key45&gt;&lt;citation.value45&gt;61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44[0]" w:val="&lt;#1&gt;&lt;citation&gt;&lt;citation._original_string&gt;Id. (quoting 1 Nimmer § 5.03[B][2][b] (1994))&lt;/citation._original_string&gt;&lt;citation._current_string&gt;Id. (quoting 1 Nimmer § 5.03[B][2][b] (1994)&lt;/citation._current_string&gt;&lt;citation._full_string&gt;Id. (quoting 1 Nimmer § 5.03[B][2][b] ( 1994)&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quoting 1 Nimmer § 5.03[B][2][b] ( 1994)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Publisher&lt;/citation.key7&gt;&lt;citation.value7&gt;quoting 1 Nimmer § 5.03[B][2][b] (&lt;/citation.value7&gt;&lt;citation.key8&gt;NonperiodicalsEnd._Pattern&lt;/citation.key8&gt;&lt;citation.value8&gt;NonperiodicalsEnd.NonperiodicalsEnd&lt;/citation.value8&gt;&lt;citation.key9&gt;NonperiodicalsEnd.__Year&lt;/citation.key9&gt;&lt;citation.value9&gt;1994 &lt;/citation.value9&gt;&lt;citation.key10&gt;NonperiodicalsEnd.__Year.Year&lt;/citation.key10&gt;&lt;citation.value10&gt;1994&lt;/citation.value10&gt;&lt;citation.key11&gt;NonperiodicalsEnd.__Year._Pattern&lt;/citation.key11&gt;&lt;citation.value11&gt;Year.Year&lt;/citation.value11&gt;&lt;citation.key12&gt;NonperiodicalsEnd.__at&lt;/citation.key12&gt;&lt;citation.value12&gt;at &lt;/citation.value12&gt;&lt;citation.key13&gt;Title&lt;/citation.key13&gt;&lt;citation.value13&gt;Id.&lt;/citation.value13&gt;&lt;/citation&gt;_x000a_"/>
  </w:docVars>
  <w:rsids>
    <w:rsidRoot w:val="00CB5A9C"/>
    <w:rsid w:val="000D4964"/>
    <w:rsid w:val="001647FA"/>
    <w:rsid w:val="001B2EBB"/>
    <w:rsid w:val="00214EFC"/>
    <w:rsid w:val="0024363E"/>
    <w:rsid w:val="00253F5F"/>
    <w:rsid w:val="002F11D3"/>
    <w:rsid w:val="00361D86"/>
    <w:rsid w:val="003A31DF"/>
    <w:rsid w:val="004551B1"/>
    <w:rsid w:val="004A336E"/>
    <w:rsid w:val="004E5614"/>
    <w:rsid w:val="004E71CF"/>
    <w:rsid w:val="00510E24"/>
    <w:rsid w:val="0052315A"/>
    <w:rsid w:val="00555AF0"/>
    <w:rsid w:val="00584D73"/>
    <w:rsid w:val="005C5E05"/>
    <w:rsid w:val="006721DE"/>
    <w:rsid w:val="00677288"/>
    <w:rsid w:val="007535DE"/>
    <w:rsid w:val="0076075B"/>
    <w:rsid w:val="0076644E"/>
    <w:rsid w:val="00777E0F"/>
    <w:rsid w:val="007D192A"/>
    <w:rsid w:val="007F603F"/>
    <w:rsid w:val="008D054A"/>
    <w:rsid w:val="008D2EB9"/>
    <w:rsid w:val="008E7989"/>
    <w:rsid w:val="00935D90"/>
    <w:rsid w:val="00972A54"/>
    <w:rsid w:val="00997AA7"/>
    <w:rsid w:val="009A49BE"/>
    <w:rsid w:val="009F6007"/>
    <w:rsid w:val="00A265DB"/>
    <w:rsid w:val="00A92136"/>
    <w:rsid w:val="00B020B1"/>
    <w:rsid w:val="00BA0069"/>
    <w:rsid w:val="00BA0428"/>
    <w:rsid w:val="00BE4DDC"/>
    <w:rsid w:val="00C11B05"/>
    <w:rsid w:val="00C1200B"/>
    <w:rsid w:val="00C620D8"/>
    <w:rsid w:val="00CB5A9C"/>
    <w:rsid w:val="00D539B8"/>
    <w:rsid w:val="00DA0824"/>
    <w:rsid w:val="00DA759B"/>
    <w:rsid w:val="00DD1C88"/>
    <w:rsid w:val="00DF4EC1"/>
    <w:rsid w:val="00EA353E"/>
    <w:rsid w:val="00EB7F0A"/>
    <w:rsid w:val="00F118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3721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9C"/>
  </w:style>
  <w:style w:type="paragraph" w:styleId="Heading1">
    <w:name w:val="heading 1"/>
    <w:basedOn w:val="Normal"/>
    <w:next w:val="Normal"/>
    <w:link w:val="Heading1Char"/>
    <w:uiPriority w:val="9"/>
    <w:qFormat/>
    <w:rsid w:val="001647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B5A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647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647F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647F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647F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647F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647F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7F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A9C"/>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CB5A9C"/>
  </w:style>
  <w:style w:type="paragraph" w:styleId="ListParagraph">
    <w:name w:val="List Paragraph"/>
    <w:basedOn w:val="Normal"/>
    <w:uiPriority w:val="34"/>
    <w:qFormat/>
    <w:rsid w:val="00CB5A9C"/>
    <w:pPr>
      <w:ind w:left="720"/>
      <w:contextualSpacing/>
    </w:pPr>
  </w:style>
  <w:style w:type="character" w:styleId="Strong">
    <w:name w:val="Strong"/>
    <w:basedOn w:val="DefaultParagraphFont"/>
    <w:uiPriority w:val="22"/>
    <w:qFormat/>
    <w:rsid w:val="00CB5A9C"/>
    <w:rPr>
      <w:b/>
      <w:bCs/>
    </w:rPr>
  </w:style>
  <w:style w:type="character" w:styleId="CommentReference">
    <w:name w:val="annotation reference"/>
    <w:basedOn w:val="DefaultParagraphFont"/>
    <w:uiPriority w:val="99"/>
    <w:semiHidden/>
    <w:unhideWhenUsed/>
    <w:rsid w:val="00CB5A9C"/>
    <w:rPr>
      <w:sz w:val="18"/>
      <w:szCs w:val="18"/>
    </w:rPr>
  </w:style>
  <w:style w:type="paragraph" w:styleId="CommentText">
    <w:name w:val="annotation text"/>
    <w:basedOn w:val="Normal"/>
    <w:link w:val="CommentTextChar"/>
    <w:uiPriority w:val="99"/>
    <w:semiHidden/>
    <w:unhideWhenUsed/>
    <w:rsid w:val="00CB5A9C"/>
    <w:pPr>
      <w:spacing w:line="240" w:lineRule="auto"/>
    </w:pPr>
    <w:rPr>
      <w:sz w:val="24"/>
      <w:szCs w:val="24"/>
    </w:rPr>
  </w:style>
  <w:style w:type="character" w:customStyle="1" w:styleId="CommentTextChar">
    <w:name w:val="Comment Text Char"/>
    <w:basedOn w:val="DefaultParagraphFont"/>
    <w:link w:val="CommentText"/>
    <w:uiPriority w:val="99"/>
    <w:semiHidden/>
    <w:rsid w:val="00CB5A9C"/>
    <w:rPr>
      <w:sz w:val="24"/>
      <w:szCs w:val="24"/>
    </w:rPr>
  </w:style>
  <w:style w:type="paragraph" w:styleId="BalloonText">
    <w:name w:val="Balloon Text"/>
    <w:basedOn w:val="Normal"/>
    <w:link w:val="BalloonTextChar"/>
    <w:uiPriority w:val="99"/>
    <w:semiHidden/>
    <w:unhideWhenUsed/>
    <w:rsid w:val="00CB5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9C"/>
    <w:rPr>
      <w:rFonts w:ascii="Tahoma" w:hAnsi="Tahoma" w:cs="Tahoma"/>
      <w:sz w:val="16"/>
      <w:szCs w:val="16"/>
    </w:rPr>
  </w:style>
  <w:style w:type="paragraph" w:customStyle="1" w:styleId="Normal1">
    <w:name w:val="Normal1"/>
    <w:basedOn w:val="Normal"/>
    <w:rsid w:val="007D1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7D192A"/>
  </w:style>
  <w:style w:type="character" w:customStyle="1" w:styleId="Heading9Char">
    <w:name w:val="Heading 9 Char"/>
    <w:basedOn w:val="DefaultParagraphFont"/>
    <w:link w:val="Heading9"/>
    <w:uiPriority w:val="9"/>
    <w:semiHidden/>
    <w:rsid w:val="001647FA"/>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1647FA"/>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1647FA"/>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1647FA"/>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1647FA"/>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1647FA"/>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1647FA"/>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1647FA"/>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4551B1"/>
    <w:rPr>
      <w:b/>
      <w:bCs/>
      <w:sz w:val="20"/>
      <w:szCs w:val="20"/>
    </w:rPr>
  </w:style>
  <w:style w:type="character" w:customStyle="1" w:styleId="CommentSubjectChar">
    <w:name w:val="Comment Subject Char"/>
    <w:basedOn w:val="CommentTextChar"/>
    <w:link w:val="CommentSubject"/>
    <w:uiPriority w:val="99"/>
    <w:semiHidden/>
    <w:rsid w:val="004551B1"/>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A9C"/>
  </w:style>
  <w:style w:type="paragraph" w:styleId="Heading1">
    <w:name w:val="heading 1"/>
    <w:basedOn w:val="Normal"/>
    <w:next w:val="Normal"/>
    <w:link w:val="Heading1Char"/>
    <w:uiPriority w:val="9"/>
    <w:qFormat/>
    <w:rsid w:val="001647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B5A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647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647F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647F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647FA"/>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647F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647F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7F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A9C"/>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CB5A9C"/>
  </w:style>
  <w:style w:type="paragraph" w:styleId="ListParagraph">
    <w:name w:val="List Paragraph"/>
    <w:basedOn w:val="Normal"/>
    <w:uiPriority w:val="34"/>
    <w:qFormat/>
    <w:rsid w:val="00CB5A9C"/>
    <w:pPr>
      <w:ind w:left="720"/>
      <w:contextualSpacing/>
    </w:pPr>
  </w:style>
  <w:style w:type="character" w:styleId="Strong">
    <w:name w:val="Strong"/>
    <w:basedOn w:val="DefaultParagraphFont"/>
    <w:uiPriority w:val="22"/>
    <w:qFormat/>
    <w:rsid w:val="00CB5A9C"/>
    <w:rPr>
      <w:b/>
      <w:bCs/>
    </w:rPr>
  </w:style>
  <w:style w:type="character" w:styleId="CommentReference">
    <w:name w:val="annotation reference"/>
    <w:basedOn w:val="DefaultParagraphFont"/>
    <w:uiPriority w:val="99"/>
    <w:semiHidden/>
    <w:unhideWhenUsed/>
    <w:rsid w:val="00CB5A9C"/>
    <w:rPr>
      <w:sz w:val="18"/>
      <w:szCs w:val="18"/>
    </w:rPr>
  </w:style>
  <w:style w:type="paragraph" w:styleId="CommentText">
    <w:name w:val="annotation text"/>
    <w:basedOn w:val="Normal"/>
    <w:link w:val="CommentTextChar"/>
    <w:uiPriority w:val="99"/>
    <w:semiHidden/>
    <w:unhideWhenUsed/>
    <w:rsid w:val="00CB5A9C"/>
    <w:pPr>
      <w:spacing w:line="240" w:lineRule="auto"/>
    </w:pPr>
    <w:rPr>
      <w:sz w:val="24"/>
      <w:szCs w:val="24"/>
    </w:rPr>
  </w:style>
  <w:style w:type="character" w:customStyle="1" w:styleId="CommentTextChar">
    <w:name w:val="Comment Text Char"/>
    <w:basedOn w:val="DefaultParagraphFont"/>
    <w:link w:val="CommentText"/>
    <w:uiPriority w:val="99"/>
    <w:semiHidden/>
    <w:rsid w:val="00CB5A9C"/>
    <w:rPr>
      <w:sz w:val="24"/>
      <w:szCs w:val="24"/>
    </w:rPr>
  </w:style>
  <w:style w:type="paragraph" w:styleId="BalloonText">
    <w:name w:val="Balloon Text"/>
    <w:basedOn w:val="Normal"/>
    <w:link w:val="BalloonTextChar"/>
    <w:uiPriority w:val="99"/>
    <w:semiHidden/>
    <w:unhideWhenUsed/>
    <w:rsid w:val="00CB5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9C"/>
    <w:rPr>
      <w:rFonts w:ascii="Tahoma" w:hAnsi="Tahoma" w:cs="Tahoma"/>
      <w:sz w:val="16"/>
      <w:szCs w:val="16"/>
    </w:rPr>
  </w:style>
  <w:style w:type="paragraph" w:customStyle="1" w:styleId="Normal1">
    <w:name w:val="Normal1"/>
    <w:basedOn w:val="Normal"/>
    <w:rsid w:val="007D1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basedOn w:val="DefaultParagraphFont"/>
    <w:rsid w:val="007D192A"/>
  </w:style>
  <w:style w:type="character" w:customStyle="1" w:styleId="Heading9Char">
    <w:name w:val="Heading 9 Char"/>
    <w:basedOn w:val="DefaultParagraphFont"/>
    <w:link w:val="Heading9"/>
    <w:uiPriority w:val="9"/>
    <w:semiHidden/>
    <w:rsid w:val="001647FA"/>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1647FA"/>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1647FA"/>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1647FA"/>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1647FA"/>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1647FA"/>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1647FA"/>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1647FA"/>
    <w:rPr>
      <w:rFonts w:asciiTheme="majorHAnsi" w:eastAsiaTheme="majorEastAsia" w:hAnsiTheme="majorHAnsi" w:cstheme="majorBidi"/>
      <w:b/>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4551B1"/>
    <w:rPr>
      <w:b/>
      <w:bCs/>
      <w:sz w:val="20"/>
      <w:szCs w:val="20"/>
    </w:rPr>
  </w:style>
  <w:style w:type="character" w:customStyle="1" w:styleId="CommentSubjectChar">
    <w:name w:val="Comment Subject Char"/>
    <w:basedOn w:val="CommentTextChar"/>
    <w:link w:val="CommentSubject"/>
    <w:uiPriority w:val="99"/>
    <w:semiHidden/>
    <w:rsid w:val="004551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643133">
      <w:bodyDiv w:val="1"/>
      <w:marLeft w:val="0"/>
      <w:marRight w:val="0"/>
      <w:marTop w:val="0"/>
      <w:marBottom w:val="0"/>
      <w:divBdr>
        <w:top w:val="none" w:sz="0" w:space="0" w:color="auto"/>
        <w:left w:val="none" w:sz="0" w:space="0" w:color="auto"/>
        <w:bottom w:val="none" w:sz="0" w:space="0" w:color="auto"/>
        <w:right w:val="none" w:sz="0" w:space="0" w:color="auto"/>
      </w:divBdr>
      <w:divsChild>
        <w:div w:id="94254897">
          <w:marLeft w:val="0"/>
          <w:marRight w:val="0"/>
          <w:marTop w:val="0"/>
          <w:marBottom w:val="0"/>
          <w:divBdr>
            <w:top w:val="none" w:sz="0" w:space="0" w:color="auto"/>
            <w:left w:val="none" w:sz="0" w:space="0" w:color="auto"/>
            <w:bottom w:val="none" w:sz="0" w:space="0" w:color="auto"/>
            <w:right w:val="none" w:sz="0" w:space="0" w:color="auto"/>
          </w:divBdr>
          <w:divsChild>
            <w:div w:id="1044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5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3244</Words>
  <Characters>16017</Characters>
  <Application>Microsoft Macintosh Word</Application>
  <DocSecurity>0</DocSecurity>
  <Lines>256</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2012-04-15T14:01:00Z</dcterms:created>
  <dcterms:modified xsi:type="dcterms:W3CDTF">2012-06-02T13:10:00Z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93936234-df75-447c-8a5a-453c1d762ba5</vt:lpwstr>
  </property>
  <property fmtid="{D5CDD505-2E9C-101B-9397-08002B2CF9AE}" pid="3" name="DocumentToolsEventId">
    <vt:lpwstr>3678d5a2-bdbb-4846-adac-0b6e2f027920</vt:lpwstr>
  </property>
</Properties>
</file>